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025528">
      <w:pPr>
        <w:jc w:val="center"/>
        <w:rPr>
          <w:rFonts w:hint="eastAsia" w:ascii="方正黑体_GBK" w:eastAsia="方正黑体_GBK"/>
          <w:sz w:val="56"/>
          <w:szCs w:val="52"/>
        </w:rPr>
      </w:pPr>
      <w:r>
        <w:rPr>
          <w:rFonts w:hint="eastAsia" w:ascii="方正黑体_GBK" w:eastAsia="方正黑体_GBK"/>
          <w:sz w:val="56"/>
          <w:szCs w:val="52"/>
        </w:rPr>
        <w:t>安徽省百所高校百万大学生科普</w:t>
      </w:r>
    </w:p>
    <w:p w14:paraId="08AB0A9B">
      <w:pPr>
        <w:jc w:val="center"/>
        <w:rPr>
          <w:rFonts w:hint="eastAsia" w:ascii="方正黑体_GBK" w:eastAsia="方正黑体_GBK"/>
          <w:sz w:val="56"/>
          <w:szCs w:val="52"/>
        </w:rPr>
      </w:pPr>
      <w:r>
        <w:rPr>
          <w:rFonts w:hint="eastAsia" w:ascii="方正黑体_GBK" w:eastAsia="方正黑体_GBK"/>
          <w:sz w:val="56"/>
          <w:szCs w:val="52"/>
        </w:rPr>
        <w:t>创</w:t>
      </w:r>
    </w:p>
    <w:p w14:paraId="54F7B9BB">
      <w:pPr>
        <w:jc w:val="center"/>
        <w:rPr>
          <w:rFonts w:hint="eastAsia" w:ascii="方正黑体_GBK" w:eastAsia="方正黑体_GBK"/>
          <w:sz w:val="56"/>
          <w:szCs w:val="52"/>
        </w:rPr>
      </w:pPr>
      <w:r>
        <w:rPr>
          <w:rFonts w:hint="eastAsia" w:ascii="方正黑体_GBK" w:eastAsia="方正黑体_GBK"/>
          <w:sz w:val="56"/>
          <w:szCs w:val="52"/>
        </w:rPr>
        <w:t>意</w:t>
      </w:r>
    </w:p>
    <w:p w14:paraId="48C926BA">
      <w:pPr>
        <w:jc w:val="center"/>
        <w:rPr>
          <w:rFonts w:hint="eastAsia" w:ascii="方正黑体_GBK" w:eastAsia="方正黑体_GBK"/>
          <w:sz w:val="56"/>
          <w:szCs w:val="52"/>
        </w:rPr>
      </w:pPr>
      <w:r>
        <w:rPr>
          <w:rFonts w:hint="eastAsia" w:ascii="方正黑体_GBK" w:eastAsia="方正黑体_GBK"/>
          <w:sz w:val="56"/>
          <w:szCs w:val="52"/>
        </w:rPr>
        <w:t>创</w:t>
      </w:r>
    </w:p>
    <w:p w14:paraId="31DEC055">
      <w:pPr>
        <w:jc w:val="center"/>
        <w:rPr>
          <w:rFonts w:hint="eastAsia" w:ascii="方正黑体_GBK" w:eastAsia="方正黑体_GBK"/>
          <w:sz w:val="56"/>
          <w:szCs w:val="52"/>
        </w:rPr>
      </w:pPr>
      <w:r>
        <w:rPr>
          <w:rFonts w:hint="eastAsia" w:ascii="方正黑体_GBK" w:eastAsia="方正黑体_GBK"/>
          <w:sz w:val="56"/>
          <w:szCs w:val="52"/>
        </w:rPr>
        <w:t>新</w:t>
      </w:r>
    </w:p>
    <w:p w14:paraId="18546EBE">
      <w:pPr>
        <w:jc w:val="center"/>
        <w:rPr>
          <w:rFonts w:hint="eastAsia" w:ascii="方正黑体_GBK" w:eastAsia="方正黑体_GBK"/>
          <w:sz w:val="56"/>
          <w:szCs w:val="52"/>
        </w:rPr>
      </w:pPr>
      <w:r>
        <w:rPr>
          <w:rFonts w:hint="eastAsia" w:ascii="方正黑体_GBK" w:eastAsia="方正黑体_GBK"/>
          <w:sz w:val="56"/>
          <w:szCs w:val="52"/>
        </w:rPr>
        <w:t>大</w:t>
      </w:r>
    </w:p>
    <w:p w14:paraId="7E9F2041">
      <w:pPr>
        <w:jc w:val="center"/>
        <w:rPr>
          <w:rFonts w:hint="eastAsia" w:ascii="方正黑体_GBK" w:eastAsia="方正黑体_GBK"/>
          <w:sz w:val="56"/>
          <w:szCs w:val="52"/>
        </w:rPr>
      </w:pPr>
      <w:r>
        <w:rPr>
          <w:rFonts w:hint="eastAsia" w:ascii="方正黑体_GBK" w:eastAsia="方正黑体_GBK"/>
          <w:sz w:val="56"/>
          <w:szCs w:val="52"/>
        </w:rPr>
        <w:t>赛</w:t>
      </w:r>
    </w:p>
    <w:p w14:paraId="4A721301">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申</w:t>
      </w:r>
    </w:p>
    <w:p w14:paraId="34E6D79A">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报</w:t>
      </w:r>
    </w:p>
    <w:p w14:paraId="003F0E17">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书</w:t>
      </w:r>
    </w:p>
    <w:p w14:paraId="59228657"/>
    <w:p w14:paraId="6A955E05">
      <w:pPr>
        <w:rPr>
          <w:rFonts w:hint="eastAsia" w:ascii="方正黑体_GBK" w:eastAsia="方正黑体_GBK"/>
          <w:sz w:val="32"/>
          <w:szCs w:val="28"/>
          <w:lang w:eastAsia="zh-CN"/>
        </w:rPr>
      </w:pPr>
      <w:r>
        <w:rPr>
          <w:rFonts w:hint="eastAsia" w:ascii="方正黑体_GBK" w:eastAsia="方正黑体_GBK"/>
          <w:sz w:val="32"/>
          <w:szCs w:val="28"/>
        </w:rPr>
        <w:t>作品名称</w:t>
      </w:r>
      <w:r>
        <w:rPr>
          <w:rFonts w:hint="eastAsia" w:ascii="方正黑体_GBK" w:eastAsia="方正黑体_GBK"/>
          <w:sz w:val="32"/>
          <w:szCs w:val="28"/>
          <w:lang w:eastAsia="zh-CN"/>
        </w:rPr>
        <w:t>：（</w:t>
      </w:r>
      <w:r>
        <w:rPr>
          <w:rFonts w:hint="eastAsia" w:ascii="方正仿宋简体" w:hAnsi="宋体" w:eastAsia="方正仿宋简体" w:cs="Times New Roman"/>
          <w:sz w:val="32"/>
          <w:szCs w:val="32"/>
          <w:u w:val="none"/>
        </w:rPr>
        <w:t xml:space="preserve"> </w:t>
      </w:r>
      <w:r>
        <w:rPr>
          <w:rFonts w:hint="eastAsia" w:ascii="宋体" w:hAnsi="宋体" w:eastAsia="宋体" w:cs="宋体"/>
          <w:sz w:val="32"/>
          <w:szCs w:val="32"/>
          <w:u w:val="none"/>
          <w:lang w:val="en-US" w:eastAsia="zh-CN"/>
        </w:rPr>
        <w:t>全方位球类发射训练平台的全自动机器人</w:t>
      </w:r>
      <w:r>
        <w:rPr>
          <w:rFonts w:hint="eastAsia" w:ascii="方正黑体_GBK" w:eastAsia="方正黑体_GBK"/>
          <w:sz w:val="32"/>
          <w:szCs w:val="28"/>
          <w:u w:val="none"/>
          <w:lang w:eastAsia="zh-CN"/>
        </w:rPr>
        <w:t>）</w:t>
      </w:r>
    </w:p>
    <w:p w14:paraId="3A63A6EC">
      <w:pPr>
        <w:rPr>
          <w:rFonts w:hint="eastAsia" w:ascii="方正黑体_GBK" w:eastAsia="方正黑体_GBK"/>
          <w:sz w:val="32"/>
          <w:szCs w:val="28"/>
          <w:lang w:eastAsia="zh-CN"/>
        </w:rPr>
      </w:pPr>
      <w:r>
        <w:rPr>
          <w:rFonts w:hint="eastAsia" w:ascii="方正黑体_GBK" w:eastAsia="方正黑体_GBK"/>
          <w:sz w:val="32"/>
          <w:szCs w:val="28"/>
        </w:rPr>
        <w:t>参赛</w:t>
      </w:r>
      <w:r>
        <w:rPr>
          <w:rFonts w:hint="eastAsia" w:ascii="方正黑体_GBK" w:eastAsia="方正黑体_GBK"/>
          <w:sz w:val="32"/>
          <w:szCs w:val="28"/>
          <w:lang w:val="en-US" w:eastAsia="zh-CN"/>
        </w:rPr>
        <w:t>大</w:t>
      </w:r>
      <w:r>
        <w:rPr>
          <w:rFonts w:hint="eastAsia" w:ascii="方正黑体_GBK" w:eastAsia="方正黑体_GBK"/>
          <w:sz w:val="32"/>
          <w:szCs w:val="28"/>
        </w:rPr>
        <w:t>分类：</w:t>
      </w:r>
      <w:r>
        <w:rPr>
          <w:rFonts w:hint="eastAsia" w:ascii="方正黑体_GBK" w:eastAsia="方正黑体_GBK"/>
          <w:sz w:val="32"/>
          <w:szCs w:val="28"/>
          <w:lang w:eastAsia="zh-CN"/>
        </w:rPr>
        <w:t>（</w:t>
      </w:r>
      <w:r>
        <w:rPr>
          <w:rFonts w:hint="eastAsia" w:ascii="宋体" w:hAnsi="宋体" w:eastAsia="宋体" w:cs="宋体"/>
          <w:sz w:val="32"/>
          <w:szCs w:val="28"/>
          <w:lang w:val="en-US" w:eastAsia="zh-CN"/>
        </w:rPr>
        <w:t>实体科普作品</w:t>
      </w:r>
      <w:r>
        <w:rPr>
          <w:rFonts w:hint="eastAsia" w:ascii="方正黑体_GBK" w:eastAsia="方正黑体_GBK"/>
          <w:sz w:val="32"/>
          <w:szCs w:val="28"/>
          <w:u w:val="none"/>
          <w:lang w:eastAsia="zh-CN"/>
        </w:rPr>
        <w:t>）</w:t>
      </w:r>
    </w:p>
    <w:p w14:paraId="52FF28F2">
      <w:pPr>
        <w:rPr>
          <w:rFonts w:hint="eastAsia" w:ascii="方正黑体_GBK" w:eastAsia="方正黑体_GBK"/>
          <w:sz w:val="32"/>
          <w:szCs w:val="28"/>
          <w:lang w:eastAsia="zh-CN"/>
        </w:rPr>
      </w:pPr>
      <w:r>
        <w:rPr>
          <w:rFonts w:hint="eastAsia" w:ascii="方正黑体_GBK" w:eastAsia="方正黑体_GBK"/>
          <w:sz w:val="32"/>
          <w:szCs w:val="28"/>
        </w:rPr>
        <w:t>参赛子分类：</w:t>
      </w:r>
      <w:r>
        <w:rPr>
          <w:rFonts w:hint="eastAsia" w:ascii="方正黑体_GBK" w:eastAsia="方正黑体_GBK"/>
          <w:sz w:val="32"/>
          <w:szCs w:val="28"/>
          <w:lang w:eastAsia="zh-CN"/>
        </w:rPr>
        <w:t>（</w:t>
      </w:r>
      <w:r>
        <w:rPr>
          <w:rFonts w:hint="eastAsia" w:ascii="宋体" w:hAnsi="宋体" w:cs="宋体"/>
          <w:sz w:val="32"/>
          <w:szCs w:val="32"/>
          <w:u w:val="none"/>
          <w:lang w:val="en-US" w:eastAsia="zh-CN"/>
        </w:rPr>
        <w:t>科普展教品</w:t>
      </w:r>
      <w:r>
        <w:rPr>
          <w:rFonts w:hint="eastAsia" w:ascii="方正黑体_GBK" w:eastAsia="方正黑体_GBK"/>
          <w:sz w:val="32"/>
          <w:szCs w:val="28"/>
          <w:u w:val="none"/>
          <w:lang w:eastAsia="zh-CN"/>
        </w:rPr>
        <w:t>）</w:t>
      </w:r>
    </w:p>
    <w:p w14:paraId="4ED755AA">
      <w:pPr>
        <w:widowControl/>
        <w:jc w:val="left"/>
      </w:pPr>
      <w:r>
        <w:br w:type="page"/>
      </w:r>
      <w:bookmarkStart w:id="59" w:name="_GoBack"/>
      <w:bookmarkEnd w:id="59"/>
    </w:p>
    <w:p w14:paraId="0AE2BD9A">
      <w:pPr>
        <w:pStyle w:val="11"/>
        <w:numPr>
          <w:ilvl w:val="0"/>
          <w:numId w:val="1"/>
        </w:numPr>
        <w:ind w:firstLineChars="0"/>
        <w:outlineLvl w:val="0"/>
        <w:rPr>
          <w:rFonts w:ascii="方正黑体_GBK" w:eastAsia="方正黑体_GBK"/>
          <w:sz w:val="32"/>
          <w:szCs w:val="28"/>
        </w:rPr>
      </w:pPr>
      <w:r>
        <w:rPr>
          <w:rFonts w:hint="eastAsia" w:ascii="方正黑体_GBK" w:eastAsia="方正黑体_GBK"/>
          <w:sz w:val="32"/>
          <w:szCs w:val="28"/>
        </w:rPr>
        <w:t>作品简介</w:t>
      </w:r>
    </w:p>
    <w:p w14:paraId="21C2C6D2">
      <w:pPr>
        <w:pStyle w:val="11"/>
        <w:rPr>
          <w:rFonts w:hint="eastAsia" w:ascii="仿宋_GB2312" w:eastAsia="仿宋_GB2312"/>
          <w:sz w:val="32"/>
          <w:szCs w:val="28"/>
          <w:lang w:eastAsia="zh-CN"/>
        </w:rPr>
      </w:pPr>
      <w:r>
        <w:rPr>
          <w:rFonts w:hint="eastAsia" w:ascii="仿宋_GB2312" w:eastAsia="仿宋_GB2312"/>
          <w:sz w:val="32"/>
          <w:szCs w:val="28"/>
          <w:lang w:val="en-US" w:eastAsia="zh-CN"/>
        </w:rPr>
        <w:t>本作品当今社会，人们越来越注重对生活质量的提高，将自身的经济基础大多数投入到享受生活的环境之中，来提升自身的精神文化水平。因此运动也逐渐成为人们的首选之一，除篮球足球以外的球类运动参与度日益增大的情况下，乒乓球、羽毛球以及高尔夫球等球类运动具有参与度广，场地要求小等特点，越来越受到普通市民的喜爱，由于参与度较高，故人员运动水平存在参差不齐的现象，无法通过简单的人与人对抗有效的提高自身水平，而目前市场上的发射机大多采用定点发射或者半自动发射，自动化程度较低。而本项目的全方位球类发射的全自动机器人具有成本低，稳定性好，可控性强，适用范围广，可长时间工作等特点，因此可以用于运动员的日常训练，球馆的入门及提高培训等。全方位球类发射训练平台的全自动机器人具有成本低，稳定性好，可控性强，适用范围广，可长时间工作等特点，因此可以用于运动员的日常训练，球馆的入门及提高培训等。此球类发射训练平台可发射多种球类，如网球、乒乓球、羽毛球、高尔夫球等。具有体积小，可全方位移动，机动性较强，结构简单，易于控制，且适用于多种球类等特点。本设计主要由发射模块、电源模块、运动模块、控制模块等部分组成。发射模块负责将训练用的球发射出去；控制模块以STM32为核心，可按照用户指令，切换不同射速及射频，以及整体平台移动速度；运动模块实现全方位移动；设计最终实现远程控制切换多种训练模式。</w:t>
      </w:r>
    </w:p>
    <w:p w14:paraId="255D334A">
      <w:pPr>
        <w:pStyle w:val="11"/>
        <w:numPr>
          <w:ilvl w:val="0"/>
          <w:numId w:val="1"/>
        </w:numPr>
        <w:ind w:left="720" w:leftChars="0" w:hanging="720" w:firstLineChars="0"/>
        <w:outlineLvl w:val="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作品代表展示图</w:t>
      </w:r>
    </w:p>
    <w:p w14:paraId="528E357D">
      <w:pPr>
        <w:pStyle w:val="11"/>
        <w:rPr>
          <w:rFonts w:hint="eastAsia" w:ascii="仿宋_GB2312" w:eastAsia="仿宋_GB2312"/>
          <w:sz w:val="32"/>
          <w:szCs w:val="28"/>
          <w:lang w:val="en-US" w:eastAsia="zh-CN"/>
        </w:rPr>
      </w:pPr>
      <w:r>
        <w:rPr>
          <w:rFonts w:hint="eastAsia" w:ascii="仿宋_GB2312" w:eastAsia="仿宋_GB2312"/>
          <w:sz w:val="32"/>
          <w:szCs w:val="28"/>
          <w:lang w:val="en-US" w:eastAsia="zh-CN"/>
        </w:rPr>
        <w:t>全方位球类发射训练平台的全自动机器人具有部件：面板和外壳、发射口和目标指示器、控制处理器、拨弹盘、支撑结构和底座、连接件和接口、旋转轴，这些部件的设计考虑了操作的流畅性和精确性，确保用户能够轻松地调整设备以适应不同的训练需求。</w:t>
      </w:r>
    </w:p>
    <w:p w14:paraId="5325D415">
      <w:pPr>
        <w:pStyle w:val="11"/>
        <w:ind w:left="720" w:firstLine="0" w:firstLineChars="0"/>
        <w:jc w:val="center"/>
      </w:pPr>
      <w:r>
        <w:drawing>
          <wp:inline distT="0" distB="0" distL="114300" distR="114300">
            <wp:extent cx="4708525" cy="3076575"/>
            <wp:effectExtent l="0" t="0" r="635" b="1905"/>
            <wp:docPr id="2" name="图片 2" descr="8D4064F886D970FCD0EC228E04963A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8D4064F886D970FCD0EC228E04963A30"/>
                    <pic:cNvPicPr>
                      <a:picLocks noChangeAspect="1"/>
                    </pic:cNvPicPr>
                  </pic:nvPicPr>
                  <pic:blipFill>
                    <a:blip r:embed="rId4"/>
                    <a:srcRect t="7938" b="6029"/>
                    <a:stretch>
                      <a:fillRect/>
                    </a:stretch>
                  </pic:blipFill>
                  <pic:spPr>
                    <a:xfrm>
                      <a:off x="0" y="0"/>
                      <a:ext cx="4711331" cy="3076575"/>
                    </a:xfrm>
                    <a:prstGeom prst="rect">
                      <a:avLst/>
                    </a:prstGeom>
                  </pic:spPr>
                </pic:pic>
              </a:graphicData>
            </a:graphic>
          </wp:inline>
        </w:drawing>
      </w:r>
      <w:bookmarkStart w:id="0" w:name="_Toc30581"/>
      <w:bookmarkStart w:id="1" w:name="_Toc45635078"/>
      <w:bookmarkStart w:id="2" w:name="_Toc45634941"/>
      <w:r>
        <w:rPr>
          <w:rFonts w:hint="eastAsia"/>
        </w:rPr>
        <w:t>图2-1 整体外观图</w:t>
      </w:r>
      <w:bookmarkEnd w:id="0"/>
      <w:bookmarkEnd w:id="1"/>
      <w:bookmarkEnd w:id="2"/>
    </w:p>
    <w:p w14:paraId="1AA2E171">
      <w:pPr>
        <w:pStyle w:val="11"/>
        <w:ind w:left="720" w:firstLine="0" w:firstLineChars="0"/>
        <w:jc w:val="center"/>
        <w:rPr>
          <w:rFonts w:hint="eastAsia"/>
        </w:rPr>
      </w:pPr>
      <w:r>
        <w:drawing>
          <wp:inline distT="0" distB="0" distL="114300" distR="114300">
            <wp:extent cx="5274310" cy="2762250"/>
            <wp:effectExtent l="0" t="0" r="13970"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4310" cy="2762250"/>
                    </a:xfrm>
                    <a:prstGeom prst="rect">
                      <a:avLst/>
                    </a:prstGeom>
                    <a:noFill/>
                    <a:ln>
                      <a:noFill/>
                    </a:ln>
                  </pic:spPr>
                </pic:pic>
              </a:graphicData>
            </a:graphic>
          </wp:inline>
        </w:drawing>
      </w:r>
      <w:r>
        <w:rPr>
          <w:rFonts w:hint="eastAsia"/>
        </w:rPr>
        <w:t>图2-2 整体外观图</w:t>
      </w:r>
    </w:p>
    <w:p w14:paraId="50ACC135">
      <w:pPr>
        <w:jc w:val="right"/>
        <w:rPr>
          <w:rFonts w:hint="eastAsia" w:ascii="宋体" w:hAnsi="宋体" w:eastAsia="宋体" w:cs="宋体"/>
          <w:sz w:val="24"/>
          <w:lang w:eastAsia="zh-CN"/>
        </w:rPr>
      </w:pPr>
      <w:r>
        <w:rPr>
          <w:rFonts w:hint="eastAsia" w:ascii="宋体" w:hAnsi="宋体" w:eastAsia="宋体" w:cs="宋体"/>
          <w:sz w:val="24"/>
          <w:lang w:eastAsia="zh-CN"/>
        </w:rPr>
        <w:drawing>
          <wp:inline distT="0" distB="0" distL="114300" distR="114300">
            <wp:extent cx="4732020" cy="2725420"/>
            <wp:effectExtent l="0" t="0" r="7620" b="2540"/>
            <wp:docPr id="21" name="图片 21" descr="底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底盘1"/>
                    <pic:cNvPicPr>
                      <a:picLocks noChangeAspect="1"/>
                    </pic:cNvPicPr>
                  </pic:nvPicPr>
                  <pic:blipFill>
                    <a:blip r:embed="rId6"/>
                    <a:stretch>
                      <a:fillRect/>
                    </a:stretch>
                  </pic:blipFill>
                  <pic:spPr>
                    <a:xfrm>
                      <a:off x="0" y="0"/>
                      <a:ext cx="4732020" cy="2725420"/>
                    </a:xfrm>
                    <a:prstGeom prst="rect">
                      <a:avLst/>
                    </a:prstGeom>
                  </pic:spPr>
                </pic:pic>
              </a:graphicData>
            </a:graphic>
          </wp:inline>
        </w:drawing>
      </w:r>
    </w:p>
    <w:p w14:paraId="21E9B2B7">
      <w:pPr>
        <w:outlineLvl w:val="9"/>
        <w:rPr>
          <w:rFonts w:hint="eastAsia"/>
        </w:rPr>
      </w:pPr>
      <w:bookmarkStart w:id="3" w:name="_Toc45635085"/>
      <w:bookmarkStart w:id="4" w:name="_Toc45634948"/>
      <w:r>
        <w:rPr>
          <w:rFonts w:hint="eastAsia"/>
        </w:rPr>
        <w:t>图</w:t>
      </w:r>
      <w:r>
        <w:rPr>
          <w:rFonts w:hint="eastAsia"/>
          <w:lang w:val="en-US" w:eastAsia="zh-CN"/>
        </w:rPr>
        <w:t>2</w:t>
      </w:r>
      <w:r>
        <w:rPr>
          <w:rFonts w:hint="eastAsia"/>
        </w:rPr>
        <w:t>-</w:t>
      </w:r>
      <w:r>
        <w:rPr>
          <w:rFonts w:hint="eastAsia"/>
          <w:lang w:val="en-US" w:eastAsia="zh-CN"/>
        </w:rPr>
        <w:t>3</w:t>
      </w:r>
      <w:r>
        <w:rPr>
          <w:rFonts w:hint="eastAsia"/>
        </w:rPr>
        <w:t xml:space="preserve"> 底盘结构整体图</w:t>
      </w:r>
      <w:bookmarkEnd w:id="3"/>
      <w:bookmarkEnd w:id="4"/>
    </w:p>
    <w:p w14:paraId="30F02D90">
      <w:pPr>
        <w:jc w:val="right"/>
        <w:rPr>
          <w:rFonts w:ascii="宋体" w:hAnsi="宋体" w:eastAsia="宋体" w:cs="宋体"/>
          <w:sz w:val="24"/>
        </w:rPr>
      </w:pPr>
      <w:r>
        <w:rPr>
          <w:rFonts w:ascii="宋体" w:hAnsi="宋体" w:eastAsia="宋体" w:cs="宋体"/>
          <w:sz w:val="24"/>
        </w:rPr>
        <w:drawing>
          <wp:inline distT="0" distB="0" distL="114300" distR="114300">
            <wp:extent cx="4646295" cy="1891030"/>
            <wp:effectExtent l="0" t="0" r="1905" b="13970"/>
            <wp:docPr id="7" name="图片 7" descr="底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底盘2"/>
                    <pic:cNvPicPr>
                      <a:picLocks noChangeAspect="1"/>
                    </pic:cNvPicPr>
                  </pic:nvPicPr>
                  <pic:blipFill>
                    <a:blip r:embed="rId7"/>
                    <a:stretch>
                      <a:fillRect/>
                    </a:stretch>
                  </pic:blipFill>
                  <pic:spPr>
                    <a:xfrm>
                      <a:off x="0" y="0"/>
                      <a:ext cx="4646295" cy="1920827"/>
                    </a:xfrm>
                    <a:prstGeom prst="rect">
                      <a:avLst/>
                    </a:prstGeom>
                  </pic:spPr>
                </pic:pic>
              </a:graphicData>
            </a:graphic>
          </wp:inline>
        </w:drawing>
      </w:r>
      <w:bookmarkStart w:id="5" w:name="_Toc45635086"/>
      <w:bookmarkStart w:id="6" w:name="_Toc45634949"/>
    </w:p>
    <w:p w14:paraId="6E743978">
      <w:pPr>
        <w:jc w:val="center"/>
        <w:rPr>
          <w:rFonts w:hint="eastAsia"/>
        </w:rPr>
      </w:pPr>
      <w:r>
        <w:rPr>
          <w:rFonts w:hint="eastAsia"/>
        </w:rPr>
        <w:t>图</w:t>
      </w:r>
      <w:r>
        <w:rPr>
          <w:rFonts w:hint="eastAsia"/>
          <w:lang w:val="en-US" w:eastAsia="zh-CN"/>
        </w:rPr>
        <w:t>2</w:t>
      </w:r>
      <w:r>
        <w:rPr>
          <w:rFonts w:hint="eastAsia"/>
        </w:rPr>
        <w:t>-</w:t>
      </w:r>
      <w:r>
        <w:rPr>
          <w:rFonts w:hint="eastAsia"/>
          <w:lang w:val="en-US" w:eastAsia="zh-CN"/>
        </w:rPr>
        <w:t>4</w:t>
      </w:r>
      <w:r>
        <w:rPr>
          <w:rFonts w:hint="eastAsia"/>
        </w:rPr>
        <w:t xml:space="preserve"> 底盘结构左视图</w:t>
      </w:r>
      <w:bookmarkEnd w:id="5"/>
      <w:bookmarkEnd w:id="6"/>
    </w:p>
    <w:p w14:paraId="57D61C60">
      <w:pPr>
        <w:jc w:val="right"/>
      </w:pPr>
      <w:r>
        <w:drawing>
          <wp:inline distT="0" distB="0" distL="114300" distR="114300">
            <wp:extent cx="4498975" cy="2620645"/>
            <wp:effectExtent l="0" t="0" r="12065" b="635"/>
            <wp:docPr id="4" name="图片 4" descr="A4DF605A98933652B18B1F524D8079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A4DF605A98933652B18B1F524D8079FE"/>
                    <pic:cNvPicPr>
                      <a:picLocks noChangeAspect="1"/>
                    </pic:cNvPicPr>
                  </pic:nvPicPr>
                  <pic:blipFill>
                    <a:blip r:embed="rId8"/>
                    <a:stretch>
                      <a:fillRect/>
                    </a:stretch>
                  </pic:blipFill>
                  <pic:spPr>
                    <a:xfrm>
                      <a:off x="0" y="0"/>
                      <a:ext cx="4498975" cy="2620645"/>
                    </a:xfrm>
                    <a:prstGeom prst="rect">
                      <a:avLst/>
                    </a:prstGeom>
                  </pic:spPr>
                </pic:pic>
              </a:graphicData>
            </a:graphic>
          </wp:inline>
        </w:drawing>
      </w:r>
      <w:bookmarkStart w:id="7" w:name="_Toc45635110"/>
      <w:bookmarkStart w:id="8" w:name="_Toc45634973"/>
    </w:p>
    <w:p w14:paraId="77666BBE">
      <w:pPr>
        <w:jc w:val="center"/>
      </w:pPr>
      <w:r>
        <w:rPr>
          <w:rFonts w:hint="eastAsia"/>
        </w:rPr>
        <w:t>图</w:t>
      </w:r>
      <w:r>
        <w:rPr>
          <w:rFonts w:hint="eastAsia"/>
          <w:lang w:val="en-US" w:eastAsia="zh-CN"/>
        </w:rPr>
        <w:t>2-5</w:t>
      </w:r>
      <w:r>
        <w:rPr>
          <w:rFonts w:hint="eastAsia"/>
        </w:rPr>
        <w:t xml:space="preserve"> 实物展示图</w:t>
      </w:r>
      <w:bookmarkEnd w:id="7"/>
      <w:bookmarkEnd w:id="8"/>
    </w:p>
    <w:p w14:paraId="134F389D">
      <w:pPr>
        <w:jc w:val="right"/>
      </w:pPr>
    </w:p>
    <w:p w14:paraId="1A331BEA">
      <w:pPr>
        <w:jc w:val="right"/>
        <w:rPr>
          <w:rFonts w:hint="eastAsia" w:ascii="宋体" w:hAnsi="宋体" w:eastAsia="宋体" w:cs="宋体"/>
          <w:sz w:val="24"/>
          <w:lang w:eastAsia="zh-CN"/>
        </w:rPr>
      </w:pPr>
    </w:p>
    <w:p w14:paraId="51A2D633">
      <w:pPr>
        <w:pStyle w:val="11"/>
        <w:ind w:left="720" w:firstLine="0" w:firstLineChars="0"/>
        <w:rPr>
          <w:rFonts w:hint="eastAsia"/>
          <w:lang w:eastAsia="zh-CN"/>
        </w:rPr>
      </w:pPr>
    </w:p>
    <w:p w14:paraId="040C1806">
      <w:pPr>
        <w:pStyle w:val="11"/>
        <w:numPr>
          <w:ilvl w:val="0"/>
          <w:numId w:val="1"/>
        </w:numPr>
        <w:ind w:firstLineChars="0"/>
        <w:outlineLvl w:val="0"/>
        <w:rPr>
          <w:rFonts w:ascii="方正黑体_GBK" w:eastAsia="方正黑体_GBK"/>
          <w:sz w:val="32"/>
          <w:szCs w:val="28"/>
        </w:rPr>
      </w:pPr>
      <w:r>
        <w:rPr>
          <w:rFonts w:hint="eastAsia" w:ascii="方正黑体_GBK" w:eastAsia="方正黑体_GBK"/>
          <w:sz w:val="32"/>
          <w:szCs w:val="28"/>
        </w:rPr>
        <w:t>选题确定</w:t>
      </w:r>
    </w:p>
    <w:p w14:paraId="0E905C36">
      <w:pPr>
        <w:pStyle w:val="11"/>
        <w:rPr>
          <w:rFonts w:hint="eastAsia" w:ascii="方正黑体_GBK" w:eastAsia="方正黑体_GBK"/>
          <w:sz w:val="32"/>
          <w:szCs w:val="28"/>
        </w:rPr>
      </w:pPr>
      <w:r>
        <w:rPr>
          <w:rFonts w:hint="eastAsia" w:ascii="仿宋_GB2312" w:eastAsia="仿宋_GB2312"/>
          <w:sz w:val="32"/>
          <w:szCs w:val="28"/>
        </w:rPr>
        <w:t>我的选题</w:t>
      </w:r>
      <w:r>
        <w:rPr>
          <w:rFonts w:hint="eastAsia" w:ascii="仿宋_GB2312" w:eastAsia="仿宋_GB2312"/>
          <w:sz w:val="32"/>
          <w:szCs w:val="28"/>
          <w:lang w:val="en-US" w:eastAsia="zh-CN"/>
        </w:rPr>
        <w:t>是由发射模块、电源模块、运动模块、控制模块等部分组成。发射模块负责将训练用的球发射出去；控制模块以STM32为核心，可按照用户指令，切换不同射速及射频，以及整体平台移动速度；运动模块实现全方位移动；设计最终实现远程控制切换多种训练模式。</w:t>
      </w:r>
    </w:p>
    <w:p w14:paraId="4EB879D9">
      <w:pPr>
        <w:pStyle w:val="11"/>
        <w:ind w:firstLine="640"/>
        <w:rPr>
          <w:rFonts w:hint="eastAsia" w:ascii="方正黑体_GBK" w:eastAsia="方正黑体_GBK"/>
          <w:sz w:val="32"/>
          <w:szCs w:val="28"/>
        </w:rPr>
      </w:pPr>
    </w:p>
    <w:p w14:paraId="46C0DA7A">
      <w:pPr>
        <w:pStyle w:val="11"/>
        <w:numPr>
          <w:ilvl w:val="0"/>
          <w:numId w:val="1"/>
        </w:numPr>
        <w:ind w:firstLineChars="0"/>
        <w:outlineLvl w:val="0"/>
        <w:rPr>
          <w:rFonts w:ascii="方正黑体_GBK" w:eastAsia="方正黑体_GBK"/>
          <w:sz w:val="32"/>
          <w:szCs w:val="28"/>
        </w:rPr>
      </w:pPr>
      <w:r>
        <w:rPr>
          <w:rFonts w:hint="eastAsia" w:ascii="方正黑体_GBK" w:eastAsia="方正黑体_GBK"/>
          <w:sz w:val="32"/>
          <w:szCs w:val="28"/>
        </w:rPr>
        <w:t>科学原理及方法</w:t>
      </w:r>
    </w:p>
    <w:p w14:paraId="141ADE06">
      <w:pPr>
        <w:pStyle w:val="2"/>
        <w:numPr>
          <w:ilvl w:val="0"/>
          <w:numId w:val="0"/>
        </w:numPr>
        <w:bidi w:val="0"/>
        <w:outlineLvl w:val="1"/>
        <w:rPr>
          <w:rFonts w:hint="eastAsia" w:ascii="仿宋_GB2312" w:hAnsi="Times New Roman" w:eastAsia="仿宋_GB2312" w:cstheme="minorBidi"/>
          <w:b w:val="0"/>
          <w:kern w:val="2"/>
          <w:sz w:val="32"/>
          <w:szCs w:val="28"/>
          <w:lang w:val="en-US" w:eastAsia="zh-CN" w:bidi="ar-SA"/>
        </w:rPr>
      </w:pPr>
      <w:bookmarkStart w:id="9" w:name="_Toc4663"/>
      <w:r>
        <w:rPr>
          <w:rFonts w:hint="eastAsia" w:ascii="仿宋_GB2312" w:hAnsi="Times New Roman" w:eastAsia="仿宋_GB2312" w:cstheme="minorBidi"/>
          <w:b w:val="0"/>
          <w:kern w:val="2"/>
          <w:sz w:val="32"/>
          <w:szCs w:val="28"/>
          <w:lang w:val="en-US" w:eastAsia="zh-CN" w:bidi="ar-SA"/>
        </w:rPr>
        <w:t>4.1.机械结构设计原理</w:t>
      </w:r>
      <w:bookmarkEnd w:id="9"/>
      <w:bookmarkStart w:id="10" w:name="_Toc15202"/>
      <w:bookmarkStart w:id="11" w:name="_Toc22081"/>
    </w:p>
    <w:p w14:paraId="0F688B76">
      <w:pPr>
        <w:pStyle w:val="3"/>
        <w:numPr>
          <w:ilvl w:val="0"/>
          <w:numId w:val="0"/>
        </w:numPr>
        <w:bidi w:val="0"/>
        <w:jc w:val="left"/>
        <w:outlineLvl w:val="2"/>
        <w:rPr>
          <w:rFonts w:hint="default"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4.1.1底盘</w:t>
      </w:r>
      <w:bookmarkEnd w:id="10"/>
      <w:bookmarkEnd w:id="11"/>
    </w:p>
    <w:p w14:paraId="3A4F1245">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底板结构采用四个独立式悬挂，有效减少车身受到的冲击，并增强四个麦轮的地面附着力，减小运动时车身的震动，并降低整车的重心，以更好地适应各种地面坡度。此外，每侧面两个避震器采用单一加工件相连，旨在使车身结构更加紧凑。</w:t>
      </w:r>
    </w:p>
    <w:p w14:paraId="754CC961">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麦克纳姆轮技术赋予全方位运动设备独特的灵活性，实现前行、横移、斜行、旋转及其组合等多种运动方式。因此，通过采用四个麦克纳姆轮的组合，设备能够更灵活、方便地实现全方位移动功能。各机轮的方向和速度合力经过悬挂缓冲，并在支撑杆上消减。同时，支撑杆的方形结构使四个方向的力相互抵消，从而确保平台在最终合力矢量方向上自由移动，而不改变机轮自身的方向，保证运动的平稳性。</w:t>
      </w:r>
    </w:p>
    <w:p w14:paraId="7B2F655F">
      <w:pPr>
        <w:widowControl/>
        <w:spacing w:line="360" w:lineRule="auto"/>
        <w:ind w:firstLine="480" w:firstLineChars="200"/>
        <w:jc w:val="left"/>
        <w:rPr>
          <w:rFonts w:hint="eastAsia" w:ascii="仿宋_GB2312" w:hAnsi="Times New Roman" w:eastAsia="仿宋_GB2312" w:cstheme="minorBidi"/>
          <w:b w:val="0"/>
          <w:kern w:val="2"/>
          <w:sz w:val="32"/>
          <w:szCs w:val="28"/>
          <w:lang w:val="en-US" w:eastAsia="zh-CN" w:bidi="ar-SA"/>
        </w:rPr>
      </w:pPr>
      <w:r>
        <w:rPr>
          <w:rFonts w:hint="eastAsia" w:ascii="宋体" w:hAnsi="宋体" w:eastAsia="宋体" w:cs="宋体"/>
          <w:sz w:val="24"/>
          <w:lang w:eastAsia="zh-CN"/>
        </w:rPr>
        <w:drawing>
          <wp:inline distT="0" distB="0" distL="114300" distR="114300">
            <wp:extent cx="4947285" cy="2753995"/>
            <wp:effectExtent l="0" t="0" r="5715" b="4445"/>
            <wp:docPr id="3" name="图片 3" descr="底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底盘1"/>
                    <pic:cNvPicPr>
                      <a:picLocks noChangeAspect="1"/>
                    </pic:cNvPicPr>
                  </pic:nvPicPr>
                  <pic:blipFill>
                    <a:blip r:embed="rId6"/>
                    <a:stretch>
                      <a:fillRect/>
                    </a:stretch>
                  </pic:blipFill>
                  <pic:spPr>
                    <a:xfrm>
                      <a:off x="0" y="0"/>
                      <a:ext cx="4947285" cy="2753995"/>
                    </a:xfrm>
                    <a:prstGeom prst="rect">
                      <a:avLst/>
                    </a:prstGeom>
                  </pic:spPr>
                </pic:pic>
              </a:graphicData>
            </a:graphic>
          </wp:inline>
        </w:drawing>
      </w:r>
    </w:p>
    <w:p w14:paraId="32315ECD">
      <w:pPr>
        <w:jc w:val="center"/>
        <w:outlineLvl w:val="9"/>
        <w:rPr>
          <w:rFonts w:hint="eastAsia"/>
        </w:rPr>
      </w:pPr>
      <w:r>
        <w:rPr>
          <w:rFonts w:hint="eastAsia"/>
        </w:rPr>
        <w:t>图4-1 底盘结构整体图</w:t>
      </w:r>
    </w:p>
    <w:p w14:paraId="55915504">
      <w:pPr>
        <w:jc w:val="center"/>
        <w:rPr>
          <w:rFonts w:ascii="宋体" w:hAnsi="宋体" w:eastAsia="宋体" w:cs="宋体"/>
          <w:sz w:val="24"/>
        </w:rPr>
      </w:pPr>
      <w:r>
        <w:rPr>
          <w:rFonts w:ascii="宋体" w:hAnsi="宋体" w:eastAsia="宋体" w:cs="宋体"/>
          <w:sz w:val="24"/>
        </w:rPr>
        <w:drawing>
          <wp:inline distT="0" distB="0" distL="114300" distR="114300">
            <wp:extent cx="4076700" cy="1891030"/>
            <wp:effectExtent l="0" t="0" r="7620" b="13970"/>
            <wp:docPr id="5" name="图片 5" descr="底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底盘2"/>
                    <pic:cNvPicPr>
                      <a:picLocks noChangeAspect="1"/>
                    </pic:cNvPicPr>
                  </pic:nvPicPr>
                  <pic:blipFill>
                    <a:blip r:embed="rId7"/>
                    <a:stretch>
                      <a:fillRect/>
                    </a:stretch>
                  </pic:blipFill>
                  <pic:spPr>
                    <a:xfrm>
                      <a:off x="0" y="0"/>
                      <a:ext cx="4140268" cy="1920827"/>
                    </a:xfrm>
                    <a:prstGeom prst="rect">
                      <a:avLst/>
                    </a:prstGeom>
                  </pic:spPr>
                </pic:pic>
              </a:graphicData>
            </a:graphic>
          </wp:inline>
        </w:drawing>
      </w:r>
    </w:p>
    <w:p w14:paraId="0183C3F5">
      <w:pPr>
        <w:jc w:val="center"/>
        <w:rPr>
          <w:rFonts w:hint="eastAsia"/>
        </w:rPr>
      </w:pPr>
      <w:r>
        <w:rPr>
          <w:rFonts w:hint="eastAsia"/>
        </w:rPr>
        <w:t>图4-2 底盘结构左视图</w:t>
      </w:r>
    </w:p>
    <w:p w14:paraId="7C23943E">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图4-2展示了设备核心的底板结构设计，采用了四个独立式悬挂系统，这种设计可以显著减少在运动过程中车身所受到的冲击，同时增强四个麦轮对地面的附着力。这样的悬挂系统不仅能有效降低车身震动，还有助于降低整车的重心，使其能够更好地适应各种复杂的地面坡度条件。</w:t>
      </w:r>
    </w:p>
    <w:p w14:paraId="7E9B4D7B">
      <w:pPr>
        <w:pStyle w:val="3"/>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12" w:name="_Toc11230"/>
      <w:r>
        <w:rPr>
          <w:rFonts w:hint="eastAsia" w:ascii="仿宋_GB2312" w:hAnsi="Times New Roman" w:eastAsia="仿宋_GB2312" w:cstheme="minorBidi"/>
          <w:b w:val="0"/>
          <w:kern w:val="2"/>
          <w:sz w:val="32"/>
          <w:szCs w:val="28"/>
          <w:lang w:val="en-US" w:eastAsia="zh-CN" w:bidi="ar-SA"/>
        </w:rPr>
        <w:t>4.1.2分弹装置</w:t>
      </w:r>
      <w:bookmarkEnd w:id="12"/>
    </w:p>
    <w:p w14:paraId="0BFDD7E9">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分弹机构是存储高尔夫球的装置同时也是球类的运输装置。分弹盘通过电机的带动进行转动从而使球体精准的下落并通过管道输送到拨弹管道内。通过程序的调控实现分弹轮和拨弹轮的同时转动，以达到分一个拨一个发射一个的目的。经过后期测试，为了避免球容易掉落的问题，我们加装了一个储球仓并且有开关开合。</w:t>
      </w:r>
    </w:p>
    <w:p w14:paraId="7F607F3D">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拨球轮装置由一个类八角星的3D打印件、8个3D打印件的盖帽、8个m3*24螺丝、8个m3自锁螺母、16个外径为11的轴承组成。打印件的每一个开口弧度45度的圆，开口弧度的直径为33mm，拨球轮的中心位置距离管道底部49mm,42mm的高尔夫球距离拨球轮的最低端留有6mm的间隙，经过实际测试此距离不会出现卡球的情况。</w:t>
      </w:r>
    </w:p>
    <w:p w14:paraId="1071CAE8">
      <w:pPr>
        <w:widowControl/>
        <w:spacing w:line="360" w:lineRule="auto"/>
        <w:ind w:firstLine="480" w:firstLineChars="200"/>
        <w:jc w:val="center"/>
        <w:rPr>
          <w:rFonts w:hint="eastAsia" w:ascii="宋体" w:hAnsi="宋体" w:eastAsia="宋体" w:cs="宋体"/>
          <w:sz w:val="24"/>
        </w:rPr>
      </w:pPr>
      <w:r>
        <w:rPr>
          <w:rFonts w:hint="eastAsia" w:ascii="宋体" w:hAnsi="宋体" w:eastAsia="宋体" w:cs="宋体"/>
          <w:sz w:val="24"/>
        </w:rPr>
        <w:drawing>
          <wp:inline distT="0" distB="0" distL="114300" distR="114300">
            <wp:extent cx="3493135" cy="2522220"/>
            <wp:effectExtent l="0" t="0" r="12065" b="7620"/>
            <wp:docPr id="11" name="图片 11" descr="分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分弹"/>
                    <pic:cNvPicPr>
                      <a:picLocks noChangeAspect="1"/>
                    </pic:cNvPicPr>
                  </pic:nvPicPr>
                  <pic:blipFill>
                    <a:blip r:embed="rId9"/>
                    <a:stretch>
                      <a:fillRect/>
                    </a:stretch>
                  </pic:blipFill>
                  <pic:spPr>
                    <a:xfrm>
                      <a:off x="0" y="0"/>
                      <a:ext cx="3497460" cy="2522220"/>
                    </a:xfrm>
                    <a:prstGeom prst="rect">
                      <a:avLst/>
                    </a:prstGeom>
                  </pic:spPr>
                </pic:pic>
              </a:graphicData>
            </a:graphic>
          </wp:inline>
        </w:drawing>
      </w:r>
    </w:p>
    <w:p w14:paraId="79291C42">
      <w:pPr>
        <w:jc w:val="center"/>
        <w:outlineLvl w:val="9"/>
        <w:rPr>
          <w:rFonts w:hint="eastAsia"/>
        </w:rPr>
      </w:pPr>
      <w:r>
        <w:rPr>
          <w:rFonts w:hint="eastAsia"/>
        </w:rPr>
        <w:t>图4-3 分弹结构图1</w:t>
      </w:r>
    </w:p>
    <w:p w14:paraId="43ABADBF">
      <w:pPr>
        <w:widowControl/>
        <w:spacing w:line="360" w:lineRule="auto"/>
        <w:ind w:firstLine="480" w:firstLineChars="200"/>
        <w:jc w:val="center"/>
        <w:rPr>
          <w:rFonts w:ascii="宋体" w:hAnsi="宋体" w:eastAsia="宋体" w:cs="宋体"/>
          <w:sz w:val="24"/>
        </w:rPr>
      </w:pPr>
      <w:r>
        <w:rPr>
          <w:rFonts w:ascii="宋体" w:hAnsi="宋体" w:eastAsia="宋体" w:cs="宋体"/>
          <w:sz w:val="24"/>
        </w:rPr>
        <w:drawing>
          <wp:inline distT="0" distB="0" distL="114300" distR="114300">
            <wp:extent cx="3622675" cy="2602865"/>
            <wp:effectExtent l="0" t="0" r="4445" b="3175"/>
            <wp:docPr id="12" name="图片 12" descr="分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分弹1"/>
                    <pic:cNvPicPr>
                      <a:picLocks noChangeAspect="1"/>
                    </pic:cNvPicPr>
                  </pic:nvPicPr>
                  <pic:blipFill>
                    <a:blip r:embed="rId10"/>
                    <a:stretch>
                      <a:fillRect/>
                    </a:stretch>
                  </pic:blipFill>
                  <pic:spPr>
                    <a:xfrm>
                      <a:off x="0" y="0"/>
                      <a:ext cx="3622675" cy="2602865"/>
                    </a:xfrm>
                    <a:prstGeom prst="rect">
                      <a:avLst/>
                    </a:prstGeom>
                  </pic:spPr>
                </pic:pic>
              </a:graphicData>
            </a:graphic>
          </wp:inline>
        </w:drawing>
      </w:r>
    </w:p>
    <w:p w14:paraId="0448C07B">
      <w:pPr>
        <w:jc w:val="center"/>
        <w:outlineLvl w:val="9"/>
      </w:pPr>
      <w:bookmarkStart w:id="13" w:name="_Toc45634952"/>
      <w:bookmarkStart w:id="14" w:name="_Toc45635089"/>
      <w:r>
        <w:rPr>
          <w:rFonts w:hint="eastAsia"/>
        </w:rPr>
        <w:t>图4-4 分弹结构图2</w:t>
      </w:r>
      <w:bookmarkEnd w:id="13"/>
      <w:bookmarkEnd w:id="14"/>
    </w:p>
    <w:p w14:paraId="10F94A29">
      <w:pPr>
        <w:pStyle w:val="3"/>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15" w:name="_Toc14184"/>
      <w:bookmarkStart w:id="16" w:name="_Toc27748"/>
      <w:bookmarkStart w:id="17" w:name="_Toc45635090"/>
      <w:bookmarkStart w:id="18" w:name="_Toc5498"/>
      <w:bookmarkStart w:id="19" w:name="_Toc45634953"/>
      <w:r>
        <w:rPr>
          <w:rFonts w:hint="eastAsia" w:ascii="仿宋_GB2312" w:hAnsi="Times New Roman" w:eastAsia="仿宋_GB2312" w:cstheme="minorBidi"/>
          <w:b w:val="0"/>
          <w:kern w:val="2"/>
          <w:sz w:val="32"/>
          <w:szCs w:val="28"/>
          <w:lang w:val="en-US" w:eastAsia="zh-CN" w:bidi="ar-SA"/>
        </w:rPr>
        <w:t>4.1.3发射装置</w:t>
      </w:r>
      <w:bookmarkEnd w:id="15"/>
      <w:bookmarkEnd w:id="16"/>
      <w:bookmarkEnd w:id="17"/>
      <w:bookmarkEnd w:id="18"/>
      <w:bookmarkEnd w:id="19"/>
    </w:p>
    <w:p w14:paraId="6F954E66">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发射机构作为核心机构主要由摩擦轮、摩擦轮电机、接收管道、摩擦管道、拨弹轮、拨弹轮电机等组成。其主要的工作情况是弹丸下落到接收管道内，通过拨弹轮的转动角度可以实现高尔夫球的不同发射方式如单发或连发。摩擦轮作为发射的动力通过高速转动带动着高尔夫球的发射。并且通过调节摩擦轮的转速可以控制发射的“弹道”。主要的结构均为3d打印。其中经过不断测试为了增加拨弹轮的强度和避免卡弹的情况出现，拨弹轮加装轴承和螺丝。发射的装置有两个摩擦轮、摩擦轮固定板和枪口组成。经过多次的实际实验证明，两个摩擦轮包胶轮的最短距离为35mm时可达到发射出完美的弹道且摩擦轮不易磨损的最佳状态。</w:t>
      </w:r>
    </w:p>
    <w:p w14:paraId="566DB212">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根据机器人的功能要求发射机构作为机器人的云台，由两个电机控制“y轴”和“p轴”的转动，以及完成底盘的方向引导功能。其中Y轴是通过主从动链路进行转动。P轴通过发射机构后方的电机进行控制，为保证P轴有足够的扭力控制其转动，所以采用两个齿轮直接的啮合带动P转动，来满足P轴的旋转灵敏度。</w:t>
      </w:r>
    </w:p>
    <w:p w14:paraId="25398950">
      <w:pPr>
        <w:widowControl/>
        <w:spacing w:line="360" w:lineRule="auto"/>
        <w:ind w:firstLine="480" w:firstLineChars="200"/>
        <w:jc w:val="center"/>
        <w:rPr>
          <w:rFonts w:ascii="宋体" w:hAnsi="宋体" w:eastAsia="宋体" w:cs="宋体"/>
          <w:sz w:val="24"/>
        </w:rPr>
      </w:pPr>
      <w:r>
        <w:rPr>
          <w:rFonts w:ascii="宋体" w:hAnsi="宋体" w:eastAsia="宋体" w:cs="宋体"/>
          <w:sz w:val="24"/>
        </w:rPr>
        <w:drawing>
          <wp:inline distT="0" distB="0" distL="114300" distR="114300">
            <wp:extent cx="3295650" cy="2773680"/>
            <wp:effectExtent l="0" t="0" r="11430" b="0"/>
            <wp:docPr id="8" name="图片 8" descr="云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云台1"/>
                    <pic:cNvPicPr>
                      <a:picLocks noChangeAspect="1"/>
                    </pic:cNvPicPr>
                  </pic:nvPicPr>
                  <pic:blipFill>
                    <a:blip r:embed="rId11"/>
                    <a:stretch>
                      <a:fillRect/>
                    </a:stretch>
                  </pic:blipFill>
                  <pic:spPr>
                    <a:xfrm>
                      <a:off x="0" y="0"/>
                      <a:ext cx="3300480" cy="2773680"/>
                    </a:xfrm>
                    <a:prstGeom prst="rect">
                      <a:avLst/>
                    </a:prstGeom>
                  </pic:spPr>
                </pic:pic>
              </a:graphicData>
            </a:graphic>
          </wp:inline>
        </w:drawing>
      </w:r>
      <w:bookmarkStart w:id="20" w:name="_Toc45634954"/>
      <w:bookmarkStart w:id="21" w:name="_Toc45635091"/>
    </w:p>
    <w:p w14:paraId="2A36C925">
      <w:pPr>
        <w:widowControl/>
        <w:spacing w:line="360" w:lineRule="auto"/>
        <w:ind w:firstLine="480" w:firstLineChars="200"/>
        <w:jc w:val="center"/>
        <w:rPr>
          <w:rFonts w:hint="eastAsia"/>
        </w:rPr>
      </w:pPr>
      <w:r>
        <w:rPr>
          <w:rFonts w:hint="eastAsia"/>
        </w:rPr>
        <w:t>图4-5 云台左视图</w:t>
      </w:r>
      <w:bookmarkEnd w:id="20"/>
      <w:bookmarkEnd w:id="21"/>
    </w:p>
    <w:p w14:paraId="651E04A8">
      <w:pPr>
        <w:jc w:val="center"/>
        <w:rPr>
          <w:rFonts w:ascii="宋体" w:hAnsi="宋体" w:eastAsia="宋体" w:cs="宋体"/>
          <w:sz w:val="24"/>
        </w:rPr>
      </w:pPr>
      <w:r>
        <w:rPr>
          <w:rFonts w:ascii="宋体" w:hAnsi="宋体" w:eastAsia="宋体" w:cs="宋体"/>
          <w:sz w:val="24"/>
        </w:rPr>
        <w:drawing>
          <wp:inline distT="0" distB="0" distL="114300" distR="114300">
            <wp:extent cx="3611880" cy="2095500"/>
            <wp:effectExtent l="0" t="0" r="0" b="7620"/>
            <wp:docPr id="9" name="图片 9" descr="云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云台2"/>
                    <pic:cNvPicPr>
                      <a:picLocks noChangeAspect="1"/>
                    </pic:cNvPicPr>
                  </pic:nvPicPr>
                  <pic:blipFill>
                    <a:blip r:embed="rId12"/>
                    <a:stretch>
                      <a:fillRect/>
                    </a:stretch>
                  </pic:blipFill>
                  <pic:spPr>
                    <a:xfrm>
                      <a:off x="0" y="0"/>
                      <a:ext cx="3613576" cy="2095500"/>
                    </a:xfrm>
                    <a:prstGeom prst="rect">
                      <a:avLst/>
                    </a:prstGeom>
                  </pic:spPr>
                </pic:pic>
              </a:graphicData>
            </a:graphic>
          </wp:inline>
        </w:drawing>
      </w:r>
    </w:p>
    <w:p w14:paraId="7CC2A659">
      <w:pPr>
        <w:jc w:val="center"/>
        <w:outlineLvl w:val="9"/>
      </w:pPr>
      <w:bookmarkStart w:id="22" w:name="_Toc45635092"/>
      <w:bookmarkStart w:id="23" w:name="_Toc45634955"/>
      <w:r>
        <w:rPr>
          <w:rFonts w:hint="eastAsia"/>
        </w:rPr>
        <w:t>图4-6 云台右视图</w:t>
      </w:r>
      <w:bookmarkEnd w:id="22"/>
      <w:bookmarkEnd w:id="23"/>
    </w:p>
    <w:p w14:paraId="02CB51A0">
      <w:pPr>
        <w:pStyle w:val="3"/>
        <w:ind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24" w:name="_Toc7424"/>
      <w:bookmarkStart w:id="25" w:name="_Toc45634956"/>
      <w:bookmarkStart w:id="26" w:name="_Toc13075"/>
      <w:bookmarkStart w:id="27" w:name="_Toc13804"/>
      <w:bookmarkStart w:id="28" w:name="_Toc45635093"/>
      <w:r>
        <w:rPr>
          <w:rFonts w:hint="eastAsia" w:ascii="仿宋_GB2312" w:hAnsi="Times New Roman" w:eastAsia="仿宋_GB2312" w:cstheme="minorBidi"/>
          <w:b w:val="0"/>
          <w:kern w:val="2"/>
          <w:sz w:val="32"/>
          <w:szCs w:val="28"/>
          <w:lang w:val="en-US" w:eastAsia="zh-CN" w:bidi="ar-SA"/>
        </w:rPr>
        <w:t>4.1.4主从动链轮</w:t>
      </w:r>
      <w:bookmarkEnd w:id="24"/>
      <w:bookmarkEnd w:id="25"/>
      <w:bookmarkEnd w:id="26"/>
      <w:bookmarkEnd w:id="27"/>
      <w:bookmarkEnd w:id="28"/>
    </w:p>
    <w:p w14:paraId="09595702">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底盘内部机械机构中有一部分为主从动链轮的设计。通过M6020控制主传动链轮运动，同时链条连接从动链轮通过滑盘的内环连接到云台下方的集电滑环，滑盘外部通过玻纤板以及杆件固定，来保证云台定位旋转的功能体现。</w:t>
      </w:r>
    </w:p>
    <w:p w14:paraId="3BAD4A42">
      <w:pPr>
        <w:widowControl/>
        <w:spacing w:line="360" w:lineRule="auto"/>
        <w:ind w:firstLine="480" w:firstLineChars="200"/>
        <w:jc w:val="center"/>
      </w:pPr>
      <w:r>
        <w:drawing>
          <wp:inline distT="0" distB="0" distL="114300" distR="114300">
            <wp:extent cx="2869565" cy="2570480"/>
            <wp:effectExtent l="0" t="0" r="10795" b="508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3"/>
                    <a:stretch>
                      <a:fillRect/>
                    </a:stretch>
                  </pic:blipFill>
                  <pic:spPr>
                    <a:xfrm>
                      <a:off x="0" y="0"/>
                      <a:ext cx="2869565" cy="2570480"/>
                    </a:xfrm>
                    <a:prstGeom prst="rect">
                      <a:avLst/>
                    </a:prstGeom>
                    <a:noFill/>
                    <a:ln>
                      <a:noFill/>
                    </a:ln>
                  </pic:spPr>
                </pic:pic>
              </a:graphicData>
            </a:graphic>
          </wp:inline>
        </w:drawing>
      </w:r>
      <w:bookmarkStart w:id="29" w:name="_Toc45634957"/>
      <w:bookmarkStart w:id="30" w:name="_Toc45635094"/>
    </w:p>
    <w:p w14:paraId="725D1602">
      <w:pPr>
        <w:widowControl/>
        <w:spacing w:line="360" w:lineRule="auto"/>
        <w:ind w:firstLine="480" w:firstLineChars="200"/>
        <w:jc w:val="center"/>
      </w:pPr>
      <w:r>
        <w:rPr>
          <w:rFonts w:hint="eastAsia"/>
        </w:rPr>
        <w:t>图4-7 主从动链轮及集电滑环展示</w:t>
      </w:r>
      <w:bookmarkEnd w:id="29"/>
      <w:bookmarkEnd w:id="30"/>
    </w:p>
    <w:p w14:paraId="090BA0F8">
      <w:pPr>
        <w:widowControl/>
        <w:spacing w:line="360" w:lineRule="auto"/>
        <w:ind w:firstLine="480" w:firstLineChars="200"/>
        <w:jc w:val="center"/>
      </w:pPr>
      <w:r>
        <w:drawing>
          <wp:inline distT="0" distB="0" distL="114300" distR="114300">
            <wp:extent cx="3983355" cy="2352040"/>
            <wp:effectExtent l="0" t="0" r="9525" b="1016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4"/>
                    <a:stretch>
                      <a:fillRect/>
                    </a:stretch>
                  </pic:blipFill>
                  <pic:spPr>
                    <a:xfrm>
                      <a:off x="0" y="0"/>
                      <a:ext cx="3983355" cy="2352040"/>
                    </a:xfrm>
                    <a:prstGeom prst="rect">
                      <a:avLst/>
                    </a:prstGeom>
                    <a:noFill/>
                    <a:ln>
                      <a:noFill/>
                    </a:ln>
                  </pic:spPr>
                </pic:pic>
              </a:graphicData>
            </a:graphic>
          </wp:inline>
        </w:drawing>
      </w:r>
    </w:p>
    <w:p w14:paraId="09E49BD1">
      <w:pPr>
        <w:jc w:val="center"/>
        <w:outlineLvl w:val="9"/>
      </w:pPr>
      <w:bookmarkStart w:id="31" w:name="_Toc45634958"/>
      <w:bookmarkStart w:id="32" w:name="_Toc45635095"/>
      <w:r>
        <w:rPr>
          <w:rFonts w:hint="eastAsia"/>
        </w:rPr>
        <w:t>图4-8 集电滑环展示</w:t>
      </w:r>
      <w:bookmarkEnd w:id="31"/>
      <w:bookmarkEnd w:id="32"/>
    </w:p>
    <w:p w14:paraId="4DD09A35">
      <w:pPr>
        <w:pStyle w:val="2"/>
        <w:bidi w:val="0"/>
        <w:ind w:left="0" w:leftChars="0" w:firstLine="0" w:firstLineChars="0"/>
        <w:outlineLvl w:val="1"/>
        <w:rPr>
          <w:rFonts w:hint="default" w:ascii="仿宋_GB2312" w:hAnsi="Times New Roman" w:eastAsia="仿宋_GB2312" w:cstheme="minorBidi"/>
          <w:b w:val="0"/>
          <w:kern w:val="2"/>
          <w:sz w:val="32"/>
          <w:szCs w:val="28"/>
          <w:lang w:val="en-US" w:eastAsia="zh-CN" w:bidi="ar-SA"/>
        </w:rPr>
      </w:pPr>
      <w:bookmarkStart w:id="33" w:name="_Toc45634959"/>
      <w:bookmarkStart w:id="34" w:name="_Toc45635096"/>
      <w:bookmarkStart w:id="35" w:name="_Toc21089"/>
      <w:bookmarkStart w:id="36" w:name="_Toc19375"/>
      <w:r>
        <w:rPr>
          <w:rFonts w:hint="eastAsia" w:ascii="仿宋_GB2312" w:hAnsi="Times New Roman" w:eastAsia="仿宋_GB2312" w:cstheme="minorBidi"/>
          <w:b w:val="0"/>
          <w:kern w:val="2"/>
          <w:sz w:val="32"/>
          <w:szCs w:val="28"/>
          <w:lang w:val="en-US" w:eastAsia="zh-CN" w:bidi="ar-SA"/>
        </w:rPr>
        <w:t>4.2嵌入式控制</w:t>
      </w:r>
      <w:bookmarkEnd w:id="33"/>
      <w:bookmarkEnd w:id="34"/>
      <w:bookmarkEnd w:id="35"/>
      <w:r>
        <w:rPr>
          <w:rFonts w:hint="eastAsia" w:ascii="仿宋_GB2312" w:hAnsi="Times New Roman" w:eastAsia="仿宋_GB2312" w:cstheme="minorBidi"/>
          <w:b w:val="0"/>
          <w:kern w:val="2"/>
          <w:sz w:val="32"/>
          <w:szCs w:val="28"/>
          <w:lang w:val="en-US" w:eastAsia="zh-CN" w:bidi="ar-SA"/>
        </w:rPr>
        <w:t>系统设计</w:t>
      </w:r>
      <w:bookmarkEnd w:id="36"/>
    </w:p>
    <w:p w14:paraId="193A9ED3">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采用STM32F4系列处理器作为主控制器负责分析处理数据,输出电机控制信号；主要使用惯性测量单元MPU6050等传感器模块用于姿态信息的检测；使用OMRON E6B2-CWZ6C旋转编码器实现射速的闭环控制；整个软硬件系统均基于模块化设计的思想。各传感器采集到的发射平台数据都使用通用数字接口和MCU进行数据交换和通信。从而实现高速，稳定的工作。</w:t>
      </w:r>
    </w:p>
    <w:p w14:paraId="1DE2DCFC">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MPU6050用于发射平台的姿态的实时调整，为了提升运行过程的可靠性，需要获取发射平台的俯仰角以及地磁角作为姿态反馈，形成闭环控制，本组发射平台选用MPU6050模块陀螺仪和地磁计采集数据，，并将所得数据传至主控芯片进行飞行姿态解算，主控芯片STM32F427通过CAN通信控制C620电调改变每个电机转速，使发射平台按照预设路线移动。</w:t>
      </w:r>
    </w:p>
    <w:p w14:paraId="4C40DCBE">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采用OMRON E6B2-CWZ6C旋转编码器实现对于发射机构的摩擦轮的转速检测，同时使用光电门检测发射速度，与程序预设的摩擦轮转速进行比较，形成闭环控制，实现发射速度的稳定。</w:t>
      </w:r>
    </w:p>
    <w:p w14:paraId="4606B2B2">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底盘控制装置包括M3508直流无刷减速电机、集电滑环、麦克纳姆轮、方铝型材，同时加上主传动链轮，通过链条连接从动链轮通过滑盘的内环连接到云台上面，滑盘外部通过玻纤板以及杆件固定，来保证云台定位旋转的功能体现，而且在车身上加两个麦克纳姆轮通过联轴器接在M3508直流无刷减速电机上，麦克纳姆轮与底盘之间安装有悬挂，可以有良好的防震效果。运用STM32F427开发板为核心的实现控制。</w:t>
      </w:r>
    </w:p>
    <w:p w14:paraId="202542A6">
      <w:pPr>
        <w:pStyle w:val="3"/>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37" w:name="_Toc27539"/>
      <w:bookmarkStart w:id="38" w:name="_Toc6289"/>
      <w:r>
        <w:rPr>
          <w:rFonts w:hint="eastAsia" w:ascii="仿宋_GB2312" w:hAnsi="Times New Roman" w:eastAsia="仿宋_GB2312" w:cstheme="minorBidi"/>
          <w:b w:val="0"/>
          <w:kern w:val="2"/>
          <w:sz w:val="32"/>
          <w:szCs w:val="28"/>
          <w:lang w:val="en-US" w:eastAsia="zh-CN" w:bidi="ar-SA"/>
        </w:rPr>
        <w:t>4.2.1 M3508直流无刷减速电机</w:t>
      </w:r>
      <w:bookmarkEnd w:id="37"/>
      <w:bookmarkEnd w:id="38"/>
    </w:p>
    <w:p w14:paraId="2A32C15B">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M3508直流无刷减速电机全向驱动，该电机是专为中小型移动平台打造的高性能伺服电机，可搭配C620电调实现正弦驱动，相比传统方波驱动具有更高的效率、机动性和稳定性。</w:t>
      </w:r>
    </w:p>
    <w:p w14:paraId="28747431">
      <w:pPr>
        <w:pStyle w:val="3"/>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39" w:name="_Toc32687"/>
      <w:bookmarkStart w:id="40" w:name="_Toc26088"/>
      <w:r>
        <w:rPr>
          <w:rFonts w:hint="eastAsia" w:ascii="仿宋_GB2312" w:hAnsi="Times New Roman" w:eastAsia="仿宋_GB2312" w:cstheme="minorBidi"/>
          <w:b w:val="0"/>
          <w:kern w:val="2"/>
          <w:sz w:val="32"/>
          <w:szCs w:val="28"/>
          <w:lang w:val="en-US" w:eastAsia="zh-CN" w:bidi="ar-SA"/>
        </w:rPr>
        <w:t>4.2.2 C620电调</w:t>
      </w:r>
      <w:bookmarkEnd w:id="39"/>
      <w:bookmarkEnd w:id="40"/>
    </w:p>
    <w:p w14:paraId="6CC8571F">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C620电调采用32位定制电机驱动芯片，使用磁场定向控制（FOC）技术，实现对电机转矩的精确控制，与M3508直流无刷减速电机搭配，组成强大的动力套件。</w:t>
      </w:r>
    </w:p>
    <w:p w14:paraId="3C14056C">
      <w:pPr>
        <w:pStyle w:val="3"/>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41" w:name="_Toc5422"/>
      <w:bookmarkStart w:id="42" w:name="_Toc20626"/>
      <w:r>
        <w:rPr>
          <w:rFonts w:hint="eastAsia" w:ascii="仿宋_GB2312" w:hAnsi="Times New Roman" w:eastAsia="仿宋_GB2312" w:cstheme="minorBidi"/>
          <w:b w:val="0"/>
          <w:kern w:val="2"/>
          <w:sz w:val="32"/>
          <w:szCs w:val="28"/>
          <w:lang w:val="en-US" w:eastAsia="zh-CN" w:bidi="ar-SA"/>
        </w:rPr>
        <w:t>4.2.3 STM32F427开发板</w:t>
      </w:r>
      <w:bookmarkEnd w:id="41"/>
      <w:bookmarkEnd w:id="42"/>
    </w:p>
    <w:p w14:paraId="4B11D2F5">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STM32F427开发板是嵌入式系统开发的电路板，包括中央处理器、存储器、输入设备、输出设备、数据通路/总线和外部资源接口等一系列硬件组件。同时提供开放接口供用户使用，方便用户进行自定义，实现其他功能。</w:t>
      </w:r>
    </w:p>
    <w:p w14:paraId="49AFD530">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p>
    <w:p w14:paraId="3742D30C">
      <w:pPr>
        <w:widowControl/>
        <w:spacing w:line="360" w:lineRule="auto"/>
        <w:jc w:val="left"/>
        <w:outlineLvl w:val="1"/>
        <w:rPr>
          <w:rFonts w:hint="eastAsia" w:ascii="仿宋_GB2312" w:eastAsia="仿宋_GB2312"/>
          <w:sz w:val="32"/>
          <w:szCs w:val="28"/>
        </w:rPr>
      </w:pPr>
      <w:r>
        <w:rPr>
          <w:rFonts w:hint="eastAsia" w:ascii="仿宋_GB2312" w:eastAsia="仿宋_GB2312"/>
          <w:sz w:val="32"/>
          <w:szCs w:val="28"/>
          <w:lang w:val="en-US" w:eastAsia="zh-CN"/>
        </w:rPr>
        <w:t>4.3</w:t>
      </w:r>
      <w:r>
        <w:rPr>
          <w:rFonts w:hint="eastAsia" w:ascii="仿宋_GB2312" w:eastAsia="仿宋_GB2312"/>
          <w:sz w:val="32"/>
          <w:szCs w:val="28"/>
        </w:rPr>
        <w:t>本作品运用的科学方法有</w:t>
      </w:r>
    </w:p>
    <w:p w14:paraId="26D84C36">
      <w:pPr>
        <w:widowControl/>
        <w:spacing w:line="360" w:lineRule="auto"/>
        <w:ind w:firstLine="640" w:firstLineChars="200"/>
        <w:jc w:val="left"/>
        <w:rPr>
          <w:rFonts w:hint="eastAsia" w:ascii="仿宋_GB2312" w:eastAsia="仿宋_GB2312"/>
          <w:sz w:val="32"/>
          <w:szCs w:val="28"/>
          <w:lang w:val="en-US" w:eastAsia="zh-CN"/>
        </w:rPr>
      </w:pPr>
      <w:r>
        <w:rPr>
          <w:rFonts w:hint="eastAsia" w:ascii="仿宋_GB2312" w:eastAsia="仿宋_GB2312"/>
          <w:sz w:val="32"/>
          <w:szCs w:val="28"/>
          <w:lang w:val="en-US" w:eastAsia="zh-CN"/>
        </w:rPr>
        <w:t>精减面向制造的设计分析（DFM）是一种在产品设计阶段就考虑制造过程和成本的方法，旨在优化设计以降低生产成本，缩短产品开发周期，并提高产品质量和可靠性。通过设计团队与制造团队的紧密合作，DFM关注材料选择、加工工艺、装配方法、工具和夹具设计等方面的可制造性。</w:t>
      </w:r>
    </w:p>
    <w:p w14:paraId="4317B520">
      <w:pPr>
        <w:widowControl/>
        <w:spacing w:line="360" w:lineRule="auto"/>
        <w:jc w:val="left"/>
        <w:rPr>
          <w:rFonts w:hint="eastAsia" w:ascii="仿宋_GB2312" w:eastAsia="仿宋_GB2312"/>
          <w:sz w:val="32"/>
          <w:szCs w:val="28"/>
        </w:rPr>
      </w:pPr>
      <w:bookmarkStart w:id="43" w:name="_Toc45634962"/>
      <w:bookmarkStart w:id="44" w:name="_Toc45635099"/>
      <w:bookmarkStart w:id="45" w:name="_Toc24072"/>
      <w:r>
        <w:rPr>
          <w:rFonts w:hint="eastAsia" w:ascii="仿宋_GB2312" w:eastAsia="仿宋_GB2312"/>
          <w:sz w:val="32"/>
          <w:szCs w:val="28"/>
        </w:rPr>
        <w:t>“悬挂固定安装座”</w:t>
      </w:r>
      <w:bookmarkEnd w:id="43"/>
      <w:bookmarkEnd w:id="44"/>
      <w:r>
        <w:rPr>
          <w:rFonts w:hint="eastAsia" w:ascii="仿宋_GB2312" w:eastAsia="仿宋_GB2312"/>
          <w:sz w:val="32"/>
          <w:szCs w:val="28"/>
          <w:lang w:val="en-US" w:eastAsia="zh-CN"/>
        </w:rPr>
        <w:t>精减面向制造的设计分析</w:t>
      </w:r>
      <w:bookmarkEnd w:id="45"/>
    </w:p>
    <w:p w14:paraId="686EBFD7">
      <w:pPr>
        <w:widowControl/>
        <w:spacing w:line="360" w:lineRule="auto"/>
        <w:ind w:firstLine="640" w:firstLineChars="200"/>
        <w:jc w:val="left"/>
        <w:rPr>
          <w:rFonts w:hint="eastAsia" w:ascii="仿宋_GB2312" w:eastAsia="仿宋_GB2312"/>
          <w:sz w:val="32"/>
          <w:szCs w:val="28"/>
        </w:rPr>
      </w:pPr>
      <w:r>
        <w:rPr>
          <w:rFonts w:hint="eastAsia" w:ascii="仿宋_GB2312" w:eastAsia="仿宋_GB2312"/>
          <w:sz w:val="32"/>
          <w:szCs w:val="28"/>
        </w:rPr>
        <w:t>以全方位球类发射训练平台的全自动机器人机械结构中应用最多的一个零件——“悬挂固定安装座”为例进行分析。</w:t>
      </w:r>
    </w:p>
    <w:p w14:paraId="4A8D1AE4">
      <w:pPr>
        <w:widowControl/>
        <w:numPr>
          <w:ilvl w:val="0"/>
          <w:numId w:val="0"/>
        </w:numPr>
        <w:spacing w:line="360" w:lineRule="auto"/>
        <w:jc w:val="left"/>
        <w:outlineLvl w:val="2"/>
        <w:rPr>
          <w:rFonts w:hint="eastAsia" w:ascii="仿宋_GB2312" w:eastAsia="仿宋_GB2312"/>
          <w:sz w:val="32"/>
          <w:szCs w:val="28"/>
        </w:rPr>
      </w:pPr>
      <w:r>
        <w:rPr>
          <w:rFonts w:hint="eastAsia" w:ascii="仿宋_GB2312" w:eastAsia="仿宋_GB2312"/>
          <w:sz w:val="32"/>
          <w:szCs w:val="28"/>
          <w:lang w:val="en-US" w:eastAsia="zh-CN"/>
        </w:rPr>
        <w:t>4.3.1.</w:t>
      </w:r>
      <w:r>
        <w:rPr>
          <w:rFonts w:hint="eastAsia" w:ascii="仿宋_GB2312" w:eastAsia="仿宋_GB2312"/>
          <w:sz w:val="32"/>
          <w:szCs w:val="28"/>
        </w:rPr>
        <w:t>加工工艺</w:t>
      </w:r>
    </w:p>
    <w:p w14:paraId="581B70CC">
      <w:pPr>
        <w:jc w:val="center"/>
        <w:outlineLvl w:val="9"/>
        <w:rPr>
          <w:rFonts w:hint="eastAsia" w:eastAsia="宋体"/>
          <w:lang w:val="en-US" w:eastAsia="zh-CN"/>
        </w:rPr>
      </w:pPr>
      <w:bookmarkStart w:id="46" w:name="_Toc45634963"/>
      <w:bookmarkStart w:id="47" w:name="_Toc45635100"/>
      <w:r>
        <w:rPr>
          <w:rFonts w:hint="eastAsia"/>
        </w:rPr>
        <w:t>表</w:t>
      </w:r>
      <w:r>
        <w:rPr>
          <w:rFonts w:hint="eastAsia"/>
          <w:lang w:val="en-US" w:eastAsia="zh-CN"/>
        </w:rPr>
        <w:t>4-9</w:t>
      </w:r>
      <w:r>
        <w:rPr>
          <w:rFonts w:hint="eastAsia"/>
        </w:rPr>
        <w:t xml:space="preserve"> 加工工艺</w:t>
      </w:r>
      <w:bookmarkEnd w:id="46"/>
      <w:bookmarkEnd w:id="47"/>
      <w:r>
        <w:rPr>
          <w:rFonts w:hint="eastAsia"/>
          <w:lang w:val="en-US" w:eastAsia="zh-CN"/>
        </w:rPr>
        <w:t>表</w:t>
      </w:r>
    </w:p>
    <w:tbl>
      <w:tblPr>
        <w:tblStyle w:val="6"/>
        <w:tblW w:w="751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94"/>
        <w:gridCol w:w="1813"/>
        <w:gridCol w:w="1083"/>
        <w:gridCol w:w="1808"/>
        <w:gridCol w:w="1517"/>
      </w:tblGrid>
      <w:tr w14:paraId="1FF8D4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5" w:hRule="atLeast"/>
          <w:jc w:val="center"/>
        </w:trPr>
        <w:tc>
          <w:tcPr>
            <w:tcW w:w="1294" w:type="dxa"/>
            <w:tcBorders>
              <w:top w:val="single" w:color="000000" w:sz="12" w:space="0"/>
              <w:left w:val="nil"/>
              <w:bottom w:val="single" w:color="000000" w:sz="4" w:space="0"/>
              <w:right w:val="nil"/>
              <w:tl2br w:val="nil"/>
            </w:tcBorders>
            <w:shd w:val="clear" w:color="auto" w:fill="FFFFFF"/>
            <w:vAlign w:val="top"/>
          </w:tcPr>
          <w:p w14:paraId="10176522">
            <w:pPr>
              <w:keepNext w:val="0"/>
              <w:keepLines w:val="0"/>
              <w:widowControl/>
              <w:suppressLineNumbers w:val="0"/>
              <w:jc w:val="center"/>
              <w:textAlignment w:val="top"/>
              <w:rPr>
                <w:rFonts w:ascii="Arial" w:hAnsi="Arial" w:cs="Arial"/>
                <w:b w:val="0"/>
                <w:i w:val="0"/>
                <w:iCs w:val="0"/>
                <w:color w:val="000000"/>
                <w:sz w:val="22"/>
                <w:szCs w:val="22"/>
                <w:u w:val="none"/>
              </w:rPr>
            </w:pPr>
            <w:r>
              <w:rPr>
                <w:rStyle w:val="12"/>
                <w:b w:val="0"/>
                <w:color w:val="000000"/>
                <w:lang w:val="en-US" w:eastAsia="zh-CN" w:bidi="ar"/>
              </w:rPr>
              <w:t>步骤</w:t>
            </w:r>
          </w:p>
        </w:tc>
        <w:tc>
          <w:tcPr>
            <w:tcW w:w="1813" w:type="dxa"/>
            <w:tcBorders>
              <w:top w:val="single" w:color="000000" w:sz="12" w:space="0"/>
              <w:left w:val="nil"/>
              <w:bottom w:val="single" w:color="000000" w:sz="4" w:space="0"/>
              <w:right w:val="nil"/>
            </w:tcBorders>
            <w:shd w:val="clear" w:color="auto" w:fill="FFFFFF"/>
            <w:vAlign w:val="top"/>
          </w:tcPr>
          <w:p w14:paraId="6CFC8958">
            <w:pPr>
              <w:keepNext w:val="0"/>
              <w:keepLines w:val="0"/>
              <w:widowControl/>
              <w:suppressLineNumbers w:val="0"/>
              <w:jc w:val="center"/>
              <w:textAlignment w:val="top"/>
              <w:rPr>
                <w:rFonts w:hint="default" w:ascii="Arial" w:hAnsi="Arial" w:cs="Arial"/>
                <w:b w:val="0"/>
                <w:i w:val="0"/>
                <w:iCs w:val="0"/>
                <w:color w:val="000000"/>
                <w:sz w:val="22"/>
                <w:szCs w:val="22"/>
                <w:u w:val="none"/>
              </w:rPr>
            </w:pPr>
            <w:r>
              <w:rPr>
                <w:rStyle w:val="12"/>
                <w:b w:val="0"/>
                <w:color w:val="000000"/>
                <w:lang w:val="en-US" w:eastAsia="zh-CN" w:bidi="ar"/>
              </w:rPr>
              <w:t>特征</w:t>
            </w:r>
          </w:p>
        </w:tc>
        <w:tc>
          <w:tcPr>
            <w:tcW w:w="1083" w:type="dxa"/>
            <w:tcBorders>
              <w:top w:val="single" w:color="000000" w:sz="12" w:space="0"/>
              <w:left w:val="nil"/>
              <w:bottom w:val="single" w:color="000000" w:sz="4" w:space="0"/>
              <w:right w:val="nil"/>
            </w:tcBorders>
            <w:shd w:val="clear" w:color="auto" w:fill="FFFFFF"/>
            <w:vAlign w:val="top"/>
          </w:tcPr>
          <w:p w14:paraId="6AF7399E">
            <w:pPr>
              <w:keepNext w:val="0"/>
              <w:keepLines w:val="0"/>
              <w:widowControl/>
              <w:suppressLineNumbers w:val="0"/>
              <w:jc w:val="center"/>
              <w:textAlignment w:val="top"/>
              <w:rPr>
                <w:rFonts w:hint="default" w:ascii="Arial" w:hAnsi="Arial" w:cs="Arial"/>
                <w:b w:val="0"/>
                <w:i w:val="0"/>
                <w:iCs w:val="0"/>
                <w:color w:val="000000"/>
                <w:sz w:val="22"/>
                <w:szCs w:val="22"/>
                <w:u w:val="none"/>
              </w:rPr>
            </w:pPr>
            <w:r>
              <w:rPr>
                <w:rStyle w:val="12"/>
                <w:b w:val="0"/>
                <w:color w:val="000000"/>
                <w:lang w:val="en-US" w:eastAsia="zh-CN" w:bidi="ar"/>
              </w:rPr>
              <w:t>公差等级</w:t>
            </w:r>
          </w:p>
        </w:tc>
        <w:tc>
          <w:tcPr>
            <w:tcW w:w="1808" w:type="dxa"/>
            <w:tcBorders>
              <w:top w:val="single" w:color="000000" w:sz="12" w:space="0"/>
              <w:left w:val="nil"/>
              <w:bottom w:val="single" w:color="000000" w:sz="4" w:space="0"/>
              <w:right w:val="nil"/>
            </w:tcBorders>
            <w:shd w:val="clear" w:color="auto" w:fill="FFFFFF"/>
            <w:vAlign w:val="top"/>
          </w:tcPr>
          <w:p w14:paraId="7ED1A672">
            <w:pPr>
              <w:keepNext w:val="0"/>
              <w:keepLines w:val="0"/>
              <w:widowControl/>
              <w:suppressLineNumbers w:val="0"/>
              <w:jc w:val="center"/>
              <w:textAlignment w:val="top"/>
              <w:rPr>
                <w:rFonts w:hint="default" w:ascii="Arial" w:hAnsi="Arial" w:cs="Arial"/>
                <w:b w:val="0"/>
                <w:i w:val="0"/>
                <w:iCs w:val="0"/>
                <w:color w:val="000000"/>
                <w:sz w:val="22"/>
                <w:szCs w:val="22"/>
                <w:u w:val="none"/>
              </w:rPr>
            </w:pPr>
            <w:r>
              <w:rPr>
                <w:rStyle w:val="12"/>
                <w:b w:val="0"/>
                <w:color w:val="000000"/>
                <w:lang w:val="en-US" w:eastAsia="zh-CN" w:bidi="ar"/>
              </w:rPr>
              <w:t>要求</w:t>
            </w:r>
          </w:p>
        </w:tc>
        <w:tc>
          <w:tcPr>
            <w:tcW w:w="1517" w:type="dxa"/>
            <w:tcBorders>
              <w:top w:val="single" w:color="000000" w:sz="12" w:space="0"/>
              <w:left w:val="nil"/>
              <w:bottom w:val="single" w:color="000000" w:sz="4" w:space="0"/>
              <w:right w:val="nil"/>
            </w:tcBorders>
            <w:shd w:val="clear" w:color="auto" w:fill="FFFFFF"/>
            <w:vAlign w:val="top"/>
          </w:tcPr>
          <w:p w14:paraId="4AAE39E0">
            <w:pPr>
              <w:keepNext w:val="0"/>
              <w:keepLines w:val="0"/>
              <w:widowControl/>
              <w:suppressLineNumbers w:val="0"/>
              <w:jc w:val="center"/>
              <w:textAlignment w:val="top"/>
              <w:rPr>
                <w:rFonts w:hint="default" w:ascii="Arial" w:hAnsi="Arial" w:cs="Arial"/>
                <w:b w:val="0"/>
                <w:i w:val="0"/>
                <w:iCs w:val="0"/>
                <w:color w:val="000000"/>
                <w:sz w:val="22"/>
                <w:szCs w:val="22"/>
                <w:u w:val="none"/>
              </w:rPr>
            </w:pPr>
            <w:r>
              <w:rPr>
                <w:rStyle w:val="12"/>
                <w:b w:val="0"/>
                <w:color w:val="000000"/>
                <w:lang w:val="en-US" w:eastAsia="zh-CN" w:bidi="ar"/>
              </w:rPr>
              <w:t>说明</w:t>
            </w:r>
          </w:p>
        </w:tc>
      </w:tr>
      <w:tr w14:paraId="6B250A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1294" w:type="dxa"/>
            <w:tcBorders>
              <w:top w:val="single" w:color="000000" w:sz="4" w:space="0"/>
              <w:left w:val="nil"/>
              <w:bottom w:val="nil"/>
              <w:right w:val="nil"/>
            </w:tcBorders>
            <w:shd w:val="clear" w:color="auto" w:fill="FFFFFF"/>
            <w:vAlign w:val="center"/>
          </w:tcPr>
          <w:p w14:paraId="35A16505">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毛胚</w:t>
            </w:r>
          </w:p>
        </w:tc>
        <w:tc>
          <w:tcPr>
            <w:tcW w:w="1813" w:type="dxa"/>
            <w:tcBorders>
              <w:top w:val="single" w:color="000000" w:sz="4" w:space="0"/>
              <w:left w:val="nil"/>
              <w:bottom w:val="nil"/>
              <w:right w:val="nil"/>
            </w:tcBorders>
            <w:shd w:val="clear" w:color="auto" w:fill="FFFFFF"/>
            <w:vAlign w:val="center"/>
          </w:tcPr>
          <w:p w14:paraId="5CDE38C7">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铝合金6061长块</w:t>
            </w:r>
            <w:r>
              <w:rPr>
                <w:rStyle w:val="13"/>
                <w:b w:val="0"/>
                <w:i w:val="0"/>
                <w:iCs w:val="0"/>
                <w:color w:val="000000"/>
                <w:lang w:val="en-US" w:eastAsia="zh-CN" w:bidi="ar"/>
              </w:rPr>
              <w:br w:type="textWrapping"/>
            </w:r>
            <w:r>
              <w:rPr>
                <w:rStyle w:val="13"/>
                <w:b w:val="0"/>
                <w:i w:val="0"/>
                <w:iCs w:val="0"/>
                <w:color w:val="000000"/>
                <w:lang w:val="en-US" w:eastAsia="zh-CN" w:bidi="ar"/>
              </w:rPr>
              <w:br w:type="textWrapping"/>
            </w:r>
            <w:r>
              <w:rPr>
                <w:rStyle w:val="13"/>
                <w:b w:val="0"/>
                <w:i w:val="0"/>
                <w:iCs w:val="0"/>
                <w:color w:val="000000"/>
                <w:lang w:val="en-US" w:eastAsia="zh-CN" w:bidi="ar"/>
              </w:rPr>
              <w:t>25mm*18mm*22mm</w:t>
            </w:r>
          </w:p>
        </w:tc>
        <w:tc>
          <w:tcPr>
            <w:tcW w:w="1083" w:type="dxa"/>
            <w:tcBorders>
              <w:top w:val="single" w:color="000000" w:sz="4" w:space="0"/>
              <w:left w:val="nil"/>
              <w:bottom w:val="nil"/>
              <w:right w:val="nil"/>
            </w:tcBorders>
            <w:shd w:val="clear" w:color="auto" w:fill="FFFFFF"/>
            <w:vAlign w:val="center"/>
          </w:tcPr>
          <w:p w14:paraId="3B50ABF8">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IT13</w:t>
            </w:r>
          </w:p>
        </w:tc>
        <w:tc>
          <w:tcPr>
            <w:tcW w:w="1808" w:type="dxa"/>
            <w:tcBorders>
              <w:top w:val="single" w:color="000000" w:sz="4" w:space="0"/>
              <w:left w:val="nil"/>
              <w:bottom w:val="nil"/>
              <w:right w:val="nil"/>
            </w:tcBorders>
            <w:shd w:val="clear" w:color="auto" w:fill="FFFFFF"/>
            <w:vAlign w:val="center"/>
          </w:tcPr>
          <w:p w14:paraId="68B4569E">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外观良好</w:t>
            </w:r>
          </w:p>
        </w:tc>
        <w:tc>
          <w:tcPr>
            <w:tcW w:w="1517" w:type="dxa"/>
            <w:tcBorders>
              <w:top w:val="single" w:color="000000" w:sz="4" w:space="0"/>
              <w:left w:val="nil"/>
              <w:bottom w:val="nil"/>
              <w:right w:val="nil"/>
            </w:tcBorders>
            <w:shd w:val="clear" w:color="auto" w:fill="FFFFFF"/>
            <w:vAlign w:val="center"/>
          </w:tcPr>
          <w:p w14:paraId="2BA562A8">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可以有余量</w:t>
            </w:r>
          </w:p>
        </w:tc>
      </w:tr>
      <w:tr w14:paraId="2C964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1294" w:type="dxa"/>
            <w:tcBorders>
              <w:top w:val="nil"/>
              <w:left w:val="nil"/>
              <w:bottom w:val="nil"/>
              <w:right w:val="nil"/>
            </w:tcBorders>
            <w:shd w:val="clear" w:color="auto" w:fill="FFFFFF"/>
            <w:vAlign w:val="center"/>
          </w:tcPr>
          <w:p w14:paraId="45C4FD2D">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粗铣</w:t>
            </w:r>
          </w:p>
        </w:tc>
        <w:tc>
          <w:tcPr>
            <w:tcW w:w="1813" w:type="dxa"/>
            <w:tcBorders>
              <w:top w:val="nil"/>
              <w:left w:val="nil"/>
              <w:bottom w:val="nil"/>
              <w:right w:val="nil"/>
            </w:tcBorders>
            <w:shd w:val="clear" w:color="auto" w:fill="FFFFFF"/>
            <w:vAlign w:val="center"/>
          </w:tcPr>
          <w:p w14:paraId="6C5768FD">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粗铣内槽</w:t>
            </w:r>
          </w:p>
        </w:tc>
        <w:tc>
          <w:tcPr>
            <w:tcW w:w="1083" w:type="dxa"/>
            <w:tcBorders>
              <w:top w:val="nil"/>
              <w:left w:val="nil"/>
              <w:bottom w:val="nil"/>
              <w:right w:val="nil"/>
            </w:tcBorders>
            <w:shd w:val="clear" w:color="auto" w:fill="FFFFFF"/>
            <w:vAlign w:val="center"/>
          </w:tcPr>
          <w:p w14:paraId="131D0364">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IT10</w:t>
            </w:r>
          </w:p>
        </w:tc>
        <w:tc>
          <w:tcPr>
            <w:tcW w:w="1808" w:type="dxa"/>
            <w:tcBorders>
              <w:top w:val="nil"/>
              <w:left w:val="nil"/>
              <w:bottom w:val="nil"/>
              <w:right w:val="nil"/>
            </w:tcBorders>
            <w:shd w:val="clear" w:color="auto" w:fill="FFFFFF"/>
            <w:vAlign w:val="center"/>
          </w:tcPr>
          <w:p w14:paraId="69546617">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center"/>
          </w:tcPr>
          <w:p w14:paraId="083CBA92">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留0.5mm的加工</w:t>
            </w:r>
            <w:r>
              <w:rPr>
                <w:rStyle w:val="13"/>
                <w:b w:val="0"/>
                <w:i w:val="0"/>
                <w:iCs w:val="0"/>
                <w:color w:val="000000"/>
                <w:lang w:val="en-US" w:eastAsia="zh-CN" w:bidi="ar"/>
              </w:rPr>
              <w:br w:type="textWrapping"/>
            </w:r>
            <w:r>
              <w:rPr>
                <w:rStyle w:val="13"/>
                <w:b w:val="0"/>
                <w:i w:val="0"/>
                <w:iCs w:val="0"/>
                <w:color w:val="000000"/>
                <w:lang w:val="en-US" w:eastAsia="zh-CN" w:bidi="ar"/>
              </w:rPr>
              <w:br w:type="textWrapping"/>
            </w:r>
            <w:r>
              <w:rPr>
                <w:rStyle w:val="13"/>
                <w:b w:val="0"/>
                <w:i w:val="0"/>
                <w:iCs w:val="0"/>
                <w:color w:val="000000"/>
                <w:lang w:val="en-US" w:eastAsia="zh-CN" w:bidi="ar"/>
              </w:rPr>
              <w:t>余量</w:t>
            </w:r>
          </w:p>
        </w:tc>
      </w:tr>
      <w:tr w14:paraId="5E62E8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jc w:val="center"/>
        </w:trPr>
        <w:tc>
          <w:tcPr>
            <w:tcW w:w="1294" w:type="dxa"/>
            <w:tcBorders>
              <w:top w:val="nil"/>
              <w:left w:val="nil"/>
              <w:bottom w:val="nil"/>
              <w:right w:val="nil"/>
            </w:tcBorders>
            <w:shd w:val="clear" w:color="auto" w:fill="FFFFFF"/>
            <w:vAlign w:val="center"/>
          </w:tcPr>
          <w:p w14:paraId="2589A081">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粗铣</w:t>
            </w:r>
          </w:p>
        </w:tc>
        <w:tc>
          <w:tcPr>
            <w:tcW w:w="1813" w:type="dxa"/>
            <w:tcBorders>
              <w:top w:val="nil"/>
              <w:left w:val="nil"/>
              <w:bottom w:val="nil"/>
              <w:right w:val="nil"/>
            </w:tcBorders>
            <w:shd w:val="clear" w:color="auto" w:fill="FFFFFF"/>
            <w:vAlign w:val="center"/>
          </w:tcPr>
          <w:p w14:paraId="46B80BB6">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粗铣外轮廓</w:t>
            </w:r>
          </w:p>
        </w:tc>
        <w:tc>
          <w:tcPr>
            <w:tcW w:w="1083" w:type="dxa"/>
            <w:tcBorders>
              <w:top w:val="nil"/>
              <w:left w:val="nil"/>
              <w:bottom w:val="nil"/>
              <w:right w:val="nil"/>
            </w:tcBorders>
            <w:shd w:val="clear" w:color="auto" w:fill="FFFFFF"/>
            <w:vAlign w:val="center"/>
          </w:tcPr>
          <w:p w14:paraId="10B80B66">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IT10</w:t>
            </w:r>
          </w:p>
        </w:tc>
        <w:tc>
          <w:tcPr>
            <w:tcW w:w="1808" w:type="dxa"/>
            <w:tcBorders>
              <w:top w:val="nil"/>
              <w:left w:val="nil"/>
              <w:bottom w:val="nil"/>
              <w:right w:val="nil"/>
            </w:tcBorders>
            <w:shd w:val="clear" w:color="auto" w:fill="FFFFFF"/>
            <w:vAlign w:val="center"/>
          </w:tcPr>
          <w:p w14:paraId="3F662AA9">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top"/>
          </w:tcPr>
          <w:p w14:paraId="5D616FA8">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留0.5mm的加工</w:t>
            </w:r>
            <w:r>
              <w:rPr>
                <w:rStyle w:val="13"/>
                <w:b w:val="0"/>
                <w:i w:val="0"/>
                <w:iCs w:val="0"/>
                <w:color w:val="000000"/>
                <w:lang w:val="en-US" w:eastAsia="zh-CN" w:bidi="ar"/>
              </w:rPr>
              <w:br w:type="textWrapping"/>
            </w:r>
            <w:r>
              <w:rPr>
                <w:rStyle w:val="13"/>
                <w:b w:val="0"/>
                <w:i w:val="0"/>
                <w:iCs w:val="0"/>
                <w:color w:val="000000"/>
                <w:lang w:val="en-US" w:eastAsia="zh-CN" w:bidi="ar"/>
              </w:rPr>
              <w:br w:type="textWrapping"/>
            </w:r>
            <w:r>
              <w:rPr>
                <w:rStyle w:val="13"/>
                <w:b w:val="0"/>
                <w:i w:val="0"/>
                <w:iCs w:val="0"/>
                <w:color w:val="000000"/>
                <w:lang w:val="en-US" w:eastAsia="zh-CN" w:bidi="ar"/>
              </w:rPr>
              <w:t>余量</w:t>
            </w:r>
          </w:p>
        </w:tc>
      </w:tr>
      <w:tr w14:paraId="75D5F8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jc w:val="center"/>
        </w:trPr>
        <w:tc>
          <w:tcPr>
            <w:tcW w:w="1294" w:type="dxa"/>
            <w:tcBorders>
              <w:top w:val="nil"/>
              <w:left w:val="nil"/>
              <w:bottom w:val="nil"/>
              <w:right w:val="nil"/>
            </w:tcBorders>
            <w:shd w:val="clear" w:color="auto" w:fill="FFFFFF"/>
            <w:vAlign w:val="center"/>
          </w:tcPr>
          <w:p w14:paraId="5890364D">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精铣</w:t>
            </w:r>
          </w:p>
        </w:tc>
        <w:tc>
          <w:tcPr>
            <w:tcW w:w="1813" w:type="dxa"/>
            <w:tcBorders>
              <w:top w:val="nil"/>
              <w:left w:val="nil"/>
              <w:bottom w:val="nil"/>
              <w:right w:val="nil"/>
            </w:tcBorders>
            <w:shd w:val="clear" w:color="auto" w:fill="FFFFFF"/>
            <w:vAlign w:val="center"/>
          </w:tcPr>
          <w:p w14:paraId="021F7381">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精铣内槽</w:t>
            </w:r>
          </w:p>
        </w:tc>
        <w:tc>
          <w:tcPr>
            <w:tcW w:w="1083" w:type="dxa"/>
            <w:tcBorders>
              <w:top w:val="nil"/>
              <w:left w:val="nil"/>
              <w:bottom w:val="nil"/>
              <w:right w:val="nil"/>
            </w:tcBorders>
            <w:shd w:val="clear" w:color="auto" w:fill="FFFFFF"/>
            <w:vAlign w:val="center"/>
          </w:tcPr>
          <w:p w14:paraId="59F668BD">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IT7</w:t>
            </w:r>
          </w:p>
        </w:tc>
        <w:tc>
          <w:tcPr>
            <w:tcW w:w="1808" w:type="dxa"/>
            <w:tcBorders>
              <w:top w:val="nil"/>
              <w:left w:val="nil"/>
              <w:bottom w:val="nil"/>
              <w:right w:val="nil"/>
            </w:tcBorders>
            <w:shd w:val="clear" w:color="auto" w:fill="FFFFFF"/>
            <w:vAlign w:val="center"/>
          </w:tcPr>
          <w:p w14:paraId="0631333F">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center"/>
          </w:tcPr>
          <w:p w14:paraId="204FAD9E">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达到图纸要求</w:t>
            </w:r>
          </w:p>
        </w:tc>
      </w:tr>
      <w:tr w14:paraId="38B3A2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jc w:val="center"/>
        </w:trPr>
        <w:tc>
          <w:tcPr>
            <w:tcW w:w="1294" w:type="dxa"/>
            <w:tcBorders>
              <w:top w:val="nil"/>
              <w:left w:val="nil"/>
              <w:bottom w:val="nil"/>
              <w:right w:val="nil"/>
            </w:tcBorders>
            <w:shd w:val="clear" w:color="auto" w:fill="FFFFFF"/>
            <w:vAlign w:val="center"/>
          </w:tcPr>
          <w:p w14:paraId="6523D1C3">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精铣</w:t>
            </w:r>
          </w:p>
        </w:tc>
        <w:tc>
          <w:tcPr>
            <w:tcW w:w="1813" w:type="dxa"/>
            <w:tcBorders>
              <w:top w:val="nil"/>
              <w:left w:val="nil"/>
              <w:bottom w:val="nil"/>
              <w:right w:val="nil"/>
            </w:tcBorders>
            <w:shd w:val="clear" w:color="auto" w:fill="FFFFFF"/>
            <w:vAlign w:val="center"/>
          </w:tcPr>
          <w:p w14:paraId="112A39E6">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精铣外轮廓</w:t>
            </w:r>
          </w:p>
        </w:tc>
        <w:tc>
          <w:tcPr>
            <w:tcW w:w="1083" w:type="dxa"/>
            <w:tcBorders>
              <w:top w:val="nil"/>
              <w:left w:val="nil"/>
              <w:bottom w:val="nil"/>
              <w:right w:val="nil"/>
            </w:tcBorders>
            <w:shd w:val="clear" w:color="auto" w:fill="FFFFFF"/>
            <w:vAlign w:val="center"/>
          </w:tcPr>
          <w:p w14:paraId="4D49CF1A">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IT7</w:t>
            </w:r>
          </w:p>
        </w:tc>
        <w:tc>
          <w:tcPr>
            <w:tcW w:w="1808" w:type="dxa"/>
            <w:tcBorders>
              <w:top w:val="nil"/>
              <w:left w:val="nil"/>
              <w:bottom w:val="nil"/>
              <w:right w:val="nil"/>
            </w:tcBorders>
            <w:shd w:val="clear" w:color="auto" w:fill="FFFFFF"/>
            <w:vAlign w:val="center"/>
          </w:tcPr>
          <w:p w14:paraId="6EA36282">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center"/>
          </w:tcPr>
          <w:p w14:paraId="5C1D1DBB">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达到图纸要求</w:t>
            </w:r>
          </w:p>
        </w:tc>
      </w:tr>
      <w:tr w14:paraId="38835E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1294" w:type="dxa"/>
            <w:tcBorders>
              <w:top w:val="nil"/>
              <w:left w:val="nil"/>
              <w:bottom w:val="nil"/>
              <w:right w:val="nil"/>
            </w:tcBorders>
            <w:shd w:val="clear" w:color="auto" w:fill="FFFFFF"/>
            <w:vAlign w:val="center"/>
          </w:tcPr>
          <w:p w14:paraId="1FAE0E14">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粗铣</w:t>
            </w:r>
          </w:p>
        </w:tc>
        <w:tc>
          <w:tcPr>
            <w:tcW w:w="1813" w:type="dxa"/>
            <w:tcBorders>
              <w:top w:val="nil"/>
              <w:left w:val="nil"/>
              <w:bottom w:val="nil"/>
              <w:right w:val="nil"/>
            </w:tcBorders>
            <w:shd w:val="clear" w:color="auto" w:fill="FFFFFF"/>
            <w:vAlign w:val="center"/>
          </w:tcPr>
          <w:p w14:paraId="0B162D7F">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粗铣定位孔</w:t>
            </w:r>
          </w:p>
        </w:tc>
        <w:tc>
          <w:tcPr>
            <w:tcW w:w="1083" w:type="dxa"/>
            <w:tcBorders>
              <w:top w:val="nil"/>
              <w:left w:val="nil"/>
              <w:bottom w:val="nil"/>
              <w:right w:val="nil"/>
            </w:tcBorders>
            <w:shd w:val="clear" w:color="auto" w:fill="FFFFFF"/>
            <w:vAlign w:val="center"/>
          </w:tcPr>
          <w:p w14:paraId="59638F26">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IT10</w:t>
            </w:r>
          </w:p>
        </w:tc>
        <w:tc>
          <w:tcPr>
            <w:tcW w:w="1808" w:type="dxa"/>
            <w:tcBorders>
              <w:top w:val="nil"/>
              <w:left w:val="nil"/>
              <w:bottom w:val="nil"/>
              <w:right w:val="nil"/>
            </w:tcBorders>
            <w:shd w:val="clear" w:color="auto" w:fill="FFFFFF"/>
            <w:vAlign w:val="center"/>
          </w:tcPr>
          <w:p w14:paraId="4A750594">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center"/>
          </w:tcPr>
          <w:p w14:paraId="44672A9A">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留0.5mm的加工</w:t>
            </w:r>
            <w:r>
              <w:rPr>
                <w:rStyle w:val="13"/>
                <w:b w:val="0"/>
                <w:i w:val="0"/>
                <w:iCs w:val="0"/>
                <w:color w:val="000000"/>
                <w:lang w:val="en-US" w:eastAsia="zh-CN" w:bidi="ar"/>
              </w:rPr>
              <w:br w:type="textWrapping"/>
            </w:r>
            <w:r>
              <w:rPr>
                <w:rStyle w:val="13"/>
                <w:b w:val="0"/>
                <w:i w:val="0"/>
                <w:iCs w:val="0"/>
                <w:color w:val="000000"/>
                <w:lang w:val="en-US" w:eastAsia="zh-CN" w:bidi="ar"/>
              </w:rPr>
              <w:br w:type="textWrapping"/>
            </w:r>
            <w:r>
              <w:rPr>
                <w:rStyle w:val="13"/>
                <w:b w:val="0"/>
                <w:i w:val="0"/>
                <w:iCs w:val="0"/>
                <w:color w:val="000000"/>
                <w:lang w:val="en-US" w:eastAsia="zh-CN" w:bidi="ar"/>
              </w:rPr>
              <w:t>余量</w:t>
            </w:r>
          </w:p>
        </w:tc>
      </w:tr>
      <w:tr w14:paraId="391340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jc w:val="center"/>
        </w:trPr>
        <w:tc>
          <w:tcPr>
            <w:tcW w:w="1294" w:type="dxa"/>
            <w:tcBorders>
              <w:top w:val="nil"/>
              <w:left w:val="nil"/>
              <w:bottom w:val="nil"/>
              <w:right w:val="nil"/>
            </w:tcBorders>
            <w:shd w:val="clear" w:color="auto" w:fill="FFFFFF"/>
            <w:vAlign w:val="center"/>
          </w:tcPr>
          <w:p w14:paraId="328E7154">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精铣</w:t>
            </w:r>
          </w:p>
        </w:tc>
        <w:tc>
          <w:tcPr>
            <w:tcW w:w="1813" w:type="dxa"/>
            <w:tcBorders>
              <w:top w:val="nil"/>
              <w:left w:val="nil"/>
              <w:bottom w:val="nil"/>
              <w:right w:val="nil"/>
            </w:tcBorders>
            <w:shd w:val="clear" w:color="auto" w:fill="FFFFFF"/>
            <w:vAlign w:val="center"/>
          </w:tcPr>
          <w:p w14:paraId="0C851DE5">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精铣定位孔</w:t>
            </w:r>
          </w:p>
        </w:tc>
        <w:tc>
          <w:tcPr>
            <w:tcW w:w="1083" w:type="dxa"/>
            <w:tcBorders>
              <w:top w:val="nil"/>
              <w:left w:val="nil"/>
              <w:bottom w:val="nil"/>
              <w:right w:val="nil"/>
            </w:tcBorders>
            <w:shd w:val="clear" w:color="auto" w:fill="FFFFFF"/>
            <w:vAlign w:val="center"/>
          </w:tcPr>
          <w:p w14:paraId="7E57F481">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IT7</w:t>
            </w:r>
          </w:p>
        </w:tc>
        <w:tc>
          <w:tcPr>
            <w:tcW w:w="1808" w:type="dxa"/>
            <w:tcBorders>
              <w:top w:val="nil"/>
              <w:left w:val="nil"/>
              <w:bottom w:val="nil"/>
              <w:right w:val="nil"/>
            </w:tcBorders>
            <w:shd w:val="clear" w:color="auto" w:fill="FFFFFF"/>
            <w:vAlign w:val="center"/>
          </w:tcPr>
          <w:p w14:paraId="08D32E45">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center"/>
          </w:tcPr>
          <w:p w14:paraId="7990E391">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达到图纸要求</w:t>
            </w:r>
          </w:p>
        </w:tc>
      </w:tr>
      <w:tr w14:paraId="272507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jc w:val="center"/>
        </w:trPr>
        <w:tc>
          <w:tcPr>
            <w:tcW w:w="1294" w:type="dxa"/>
            <w:tcBorders>
              <w:top w:val="nil"/>
              <w:left w:val="nil"/>
              <w:bottom w:val="nil"/>
              <w:right w:val="nil"/>
            </w:tcBorders>
            <w:shd w:val="clear" w:color="auto" w:fill="FFFFFF"/>
            <w:vAlign w:val="center"/>
          </w:tcPr>
          <w:p w14:paraId="1DA080BC">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钻孔</w:t>
            </w:r>
          </w:p>
        </w:tc>
        <w:tc>
          <w:tcPr>
            <w:tcW w:w="1813" w:type="dxa"/>
            <w:tcBorders>
              <w:top w:val="nil"/>
              <w:left w:val="nil"/>
              <w:bottom w:val="nil"/>
              <w:right w:val="nil"/>
            </w:tcBorders>
            <w:shd w:val="clear" w:color="auto" w:fill="FFFFFF"/>
            <w:vAlign w:val="center"/>
          </w:tcPr>
          <w:p w14:paraId="7A43B37A">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钻表面每个孔位</w:t>
            </w:r>
          </w:p>
        </w:tc>
        <w:tc>
          <w:tcPr>
            <w:tcW w:w="1083" w:type="dxa"/>
            <w:tcBorders>
              <w:top w:val="nil"/>
              <w:left w:val="nil"/>
              <w:bottom w:val="nil"/>
              <w:right w:val="nil"/>
            </w:tcBorders>
            <w:shd w:val="clear" w:color="auto" w:fill="FFFFFF"/>
            <w:vAlign w:val="center"/>
          </w:tcPr>
          <w:p w14:paraId="678B2574">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IT7</w:t>
            </w:r>
          </w:p>
        </w:tc>
        <w:tc>
          <w:tcPr>
            <w:tcW w:w="1808" w:type="dxa"/>
            <w:tcBorders>
              <w:top w:val="nil"/>
              <w:left w:val="nil"/>
              <w:bottom w:val="nil"/>
              <w:right w:val="nil"/>
            </w:tcBorders>
            <w:shd w:val="clear" w:color="auto" w:fill="FFFFFF"/>
            <w:vAlign w:val="center"/>
          </w:tcPr>
          <w:p w14:paraId="0AF2487D">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尺寸在要求范围内</w:t>
            </w:r>
          </w:p>
        </w:tc>
        <w:tc>
          <w:tcPr>
            <w:tcW w:w="1517" w:type="dxa"/>
            <w:tcBorders>
              <w:top w:val="nil"/>
              <w:left w:val="nil"/>
              <w:bottom w:val="nil"/>
              <w:right w:val="nil"/>
            </w:tcBorders>
            <w:shd w:val="clear" w:color="auto" w:fill="FFFFFF"/>
            <w:vAlign w:val="center"/>
          </w:tcPr>
          <w:p w14:paraId="5749E0CE">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达到图纸要求</w:t>
            </w:r>
          </w:p>
        </w:tc>
      </w:tr>
      <w:tr w14:paraId="40DCD2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1294" w:type="dxa"/>
            <w:tcBorders>
              <w:top w:val="nil"/>
              <w:left w:val="nil"/>
              <w:bottom w:val="single" w:color="000000" w:sz="12" w:space="0"/>
              <w:right w:val="nil"/>
            </w:tcBorders>
            <w:shd w:val="clear" w:color="auto" w:fill="FFFFFF"/>
            <w:vAlign w:val="top"/>
          </w:tcPr>
          <w:p w14:paraId="051E8EFF">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后处理</w:t>
            </w:r>
          </w:p>
        </w:tc>
        <w:tc>
          <w:tcPr>
            <w:tcW w:w="1813" w:type="dxa"/>
            <w:tcBorders>
              <w:top w:val="nil"/>
              <w:left w:val="nil"/>
              <w:bottom w:val="single" w:color="000000" w:sz="12" w:space="0"/>
              <w:right w:val="nil"/>
            </w:tcBorders>
            <w:shd w:val="clear" w:color="auto" w:fill="FFFFFF"/>
            <w:vAlign w:val="top"/>
          </w:tcPr>
          <w:p w14:paraId="7665A436">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去毛刺、氧化喷砂</w:t>
            </w:r>
          </w:p>
        </w:tc>
        <w:tc>
          <w:tcPr>
            <w:tcW w:w="1083" w:type="dxa"/>
            <w:tcBorders>
              <w:top w:val="nil"/>
              <w:left w:val="nil"/>
              <w:bottom w:val="single" w:color="000000" w:sz="12" w:space="0"/>
              <w:right w:val="nil"/>
            </w:tcBorders>
            <w:shd w:val="clear" w:color="auto" w:fill="FFFFFF"/>
            <w:vAlign w:val="center"/>
          </w:tcPr>
          <w:p w14:paraId="77B94E46">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IT7</w:t>
            </w:r>
          </w:p>
        </w:tc>
        <w:tc>
          <w:tcPr>
            <w:tcW w:w="1808" w:type="dxa"/>
            <w:tcBorders>
              <w:top w:val="nil"/>
              <w:left w:val="nil"/>
              <w:bottom w:val="single" w:color="000000" w:sz="12" w:space="0"/>
              <w:right w:val="nil"/>
            </w:tcBorders>
            <w:shd w:val="clear" w:color="auto" w:fill="FFFFFF"/>
            <w:vAlign w:val="top"/>
          </w:tcPr>
          <w:p w14:paraId="55799663">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表面好，无毛刺</w:t>
            </w:r>
          </w:p>
        </w:tc>
        <w:tc>
          <w:tcPr>
            <w:tcW w:w="1517" w:type="dxa"/>
            <w:tcBorders>
              <w:top w:val="nil"/>
              <w:left w:val="nil"/>
              <w:bottom w:val="single" w:color="000000" w:sz="12" w:space="0"/>
              <w:right w:val="nil"/>
            </w:tcBorders>
            <w:shd w:val="clear" w:color="auto" w:fill="FFFFFF"/>
            <w:vAlign w:val="top"/>
          </w:tcPr>
          <w:p w14:paraId="1669A27D">
            <w:pPr>
              <w:keepNext w:val="0"/>
              <w:keepLines w:val="0"/>
              <w:widowControl/>
              <w:suppressLineNumbers w:val="0"/>
              <w:jc w:val="center"/>
              <w:textAlignment w:val="center"/>
              <w:rPr>
                <w:rStyle w:val="13"/>
                <w:rFonts w:hint="default"/>
                <w:b w:val="0"/>
                <w:i w:val="0"/>
                <w:iCs w:val="0"/>
                <w:color w:val="000000"/>
                <w:lang w:val="en-US" w:eastAsia="zh-CN" w:bidi="ar"/>
              </w:rPr>
            </w:pPr>
            <w:r>
              <w:rPr>
                <w:rStyle w:val="13"/>
                <w:b w:val="0"/>
                <w:i w:val="0"/>
                <w:iCs w:val="0"/>
                <w:color w:val="000000"/>
                <w:lang w:val="en-US" w:eastAsia="zh-CN" w:bidi="ar"/>
              </w:rPr>
              <w:t>达到图纸要求</w:t>
            </w:r>
          </w:p>
        </w:tc>
      </w:tr>
    </w:tbl>
    <w:p w14:paraId="289F3945">
      <w:pPr>
        <w:widowControl/>
        <w:numPr>
          <w:ilvl w:val="0"/>
          <w:numId w:val="0"/>
        </w:numPr>
        <w:spacing w:line="360" w:lineRule="auto"/>
        <w:jc w:val="left"/>
        <w:rPr>
          <w:rFonts w:hint="eastAsia" w:ascii="仿宋_GB2312" w:eastAsia="仿宋_GB2312"/>
          <w:sz w:val="32"/>
          <w:szCs w:val="28"/>
        </w:rPr>
      </w:pPr>
    </w:p>
    <w:p w14:paraId="6892322E">
      <w:pPr>
        <w:widowControl/>
        <w:spacing w:line="360" w:lineRule="auto"/>
        <w:jc w:val="left"/>
        <w:outlineLvl w:val="2"/>
        <w:rPr>
          <w:rFonts w:hint="eastAsia" w:ascii="仿宋_GB2312" w:eastAsia="仿宋_GB2312"/>
          <w:sz w:val="32"/>
          <w:szCs w:val="28"/>
        </w:rPr>
      </w:pPr>
      <w:r>
        <w:rPr>
          <w:rFonts w:hint="eastAsia" w:ascii="仿宋_GB2312" w:eastAsia="仿宋_GB2312"/>
          <w:sz w:val="32"/>
          <w:szCs w:val="28"/>
          <w:lang w:val="en-US" w:eastAsia="zh-CN"/>
        </w:rPr>
        <w:t>4.3.</w:t>
      </w:r>
      <w:r>
        <w:rPr>
          <w:rFonts w:hint="eastAsia" w:ascii="仿宋_GB2312" w:eastAsia="仿宋_GB2312"/>
          <w:sz w:val="32"/>
          <w:szCs w:val="28"/>
        </w:rPr>
        <w:t>2</w:t>
      </w:r>
      <w:r>
        <w:rPr>
          <w:rFonts w:hint="eastAsia" w:ascii="仿宋_GB2312" w:eastAsia="仿宋_GB2312"/>
          <w:sz w:val="32"/>
          <w:szCs w:val="28"/>
          <w:lang w:eastAsia="zh-CN"/>
        </w:rPr>
        <w:t>、</w:t>
      </w:r>
      <w:r>
        <w:rPr>
          <w:rFonts w:hint="eastAsia" w:ascii="仿宋_GB2312" w:eastAsia="仿宋_GB2312"/>
          <w:sz w:val="32"/>
          <w:szCs w:val="28"/>
        </w:rPr>
        <w:t>可制造性仿真分析</w:t>
      </w:r>
    </w:p>
    <w:p w14:paraId="6FA7F05B">
      <w:pPr>
        <w:widowControl/>
        <w:spacing w:line="360" w:lineRule="auto"/>
        <w:ind w:firstLine="640" w:firstLineChars="200"/>
        <w:jc w:val="left"/>
        <w:rPr>
          <w:rFonts w:hint="eastAsia" w:ascii="仿宋_GB2312" w:eastAsia="仿宋_GB2312"/>
          <w:sz w:val="32"/>
          <w:szCs w:val="28"/>
        </w:rPr>
      </w:pPr>
      <w:r>
        <w:rPr>
          <w:rFonts w:hint="eastAsia" w:ascii="仿宋_GB2312" w:eastAsia="仿宋_GB2312"/>
          <w:sz w:val="32"/>
          <w:szCs w:val="28"/>
        </w:rPr>
        <w:t>对于全方位球类发射训练平台的“悬挂固定安装座”，DFM（面向制造的设计）分析是确保其设计既适合功能需求又易于制造的关键步骤。</w:t>
      </w:r>
    </w:p>
    <w:p w14:paraId="3E77B5A2">
      <w:pPr>
        <w:widowControl/>
        <w:spacing w:line="360" w:lineRule="auto"/>
        <w:ind w:firstLine="640" w:firstLineChars="200"/>
        <w:jc w:val="left"/>
        <w:rPr>
          <w:rFonts w:hint="eastAsia" w:ascii="仿宋_GB2312" w:eastAsia="仿宋_GB2312"/>
          <w:sz w:val="32"/>
          <w:szCs w:val="28"/>
        </w:rPr>
      </w:pPr>
      <w:r>
        <w:rPr>
          <w:rFonts w:hint="eastAsia" w:ascii="仿宋_GB2312" w:eastAsia="仿宋_GB2312"/>
          <w:sz w:val="32"/>
          <w:szCs w:val="28"/>
        </w:rPr>
        <w:t>在面向制造的设计分析（DFM）过程中，设计简化与优化是一个初步且至关重要的步骤，尤其针对“悬挂固定安装座”的设计与制造环节。通过消除不必要的复杂性和多余的设计细节，设计变得更易于制造，从而提升了生产效率。确保安装座性能和可靠性的关键因素是材料选择，所选材料必须同时具备必要的强度和耐用性，并满足成本效益要求。加工工艺的选择也是DFM分析中的关键环节，会根据安装座的具体设计特征和材料特性来确定最佳的制造方法，如CNC机械加工、焊接或冲压等。</w:t>
      </w:r>
    </w:p>
    <w:p w14:paraId="06FEEF09">
      <w:pPr>
        <w:widowControl/>
        <w:spacing w:line="360" w:lineRule="auto"/>
        <w:ind w:firstLine="640" w:firstLineChars="200"/>
        <w:jc w:val="left"/>
        <w:rPr>
          <w:rFonts w:hint="eastAsia" w:ascii="仿宋_GB2312" w:eastAsia="仿宋_GB2312"/>
          <w:sz w:val="32"/>
          <w:szCs w:val="28"/>
        </w:rPr>
      </w:pPr>
      <w:r>
        <w:rPr>
          <w:rFonts w:hint="eastAsia" w:ascii="仿宋_GB2312" w:eastAsia="仿宋_GB2312"/>
          <w:sz w:val="32"/>
          <w:szCs w:val="28"/>
        </w:rPr>
        <w:t>利用仿真工具来模拟制造过程，包括折弯、切割和组装等关键步骤，这有助于评估设计的可制造性，并提前识别及解决潜在的生产问题，如材料变形、应力集中或装配困难。成本分析构成了DFM的另一个重要组成部分，它涉及对材料成本、劳动力成本以及生产过程成本的估算，目的是优化项目的预算安排。基于仿真分析的结果，可能会制作原型进行实际测试，根据测试反馈进行设计的迭代优化，以实现最佳设计方案。DFM是一个持续的改进过程，通过收集和分析生产数据及反馈信息，不断对设计和制造工艺进行精细调整和优化，以实现高效、经济的生产目标。</w:t>
      </w:r>
    </w:p>
    <w:p w14:paraId="7B2A7577">
      <w:pPr>
        <w:widowControl/>
        <w:spacing w:line="360" w:lineRule="auto"/>
        <w:ind w:firstLine="480" w:firstLineChars="200"/>
        <w:jc w:val="left"/>
        <w:rPr>
          <w:rFonts w:hint="eastAsia" w:ascii="宋体" w:hAnsi="宋体" w:eastAsia="宋体" w:cs="宋体"/>
          <w:sz w:val="24"/>
        </w:rPr>
      </w:pPr>
    </w:p>
    <w:p w14:paraId="7372A7CB">
      <w:pPr>
        <w:pStyle w:val="11"/>
        <w:ind w:left="720" w:firstLine="0" w:firstLineChars="0"/>
        <w:rPr>
          <w:rFonts w:hint="eastAsia" w:asciiTheme="minorEastAsia" w:hAnsiTheme="minorEastAsia" w:cstheme="minorEastAsia"/>
          <w:sz w:val="24"/>
        </w:rPr>
      </w:pPr>
      <w:r>
        <w:rPr>
          <w:rFonts w:hint="eastAsia" w:asciiTheme="minorEastAsia" w:hAnsiTheme="minorEastAsia" w:cstheme="minorEastAsia"/>
          <w:sz w:val="24"/>
        </w:rPr>
        <w:drawing>
          <wp:inline distT="0" distB="0" distL="114300" distR="114300">
            <wp:extent cx="4048125" cy="2179955"/>
            <wp:effectExtent l="0" t="0" r="5715" b="146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lum contrast="30000"/>
                    </a:blip>
                    <a:stretch>
                      <a:fillRect/>
                    </a:stretch>
                  </pic:blipFill>
                  <pic:spPr>
                    <a:xfrm>
                      <a:off x="0" y="0"/>
                      <a:ext cx="4053940" cy="2179955"/>
                    </a:xfrm>
                    <a:prstGeom prst="rect">
                      <a:avLst/>
                    </a:prstGeom>
                    <a:noFill/>
                    <a:ln>
                      <a:noFill/>
                    </a:ln>
                  </pic:spPr>
                </pic:pic>
              </a:graphicData>
            </a:graphic>
          </wp:inline>
        </w:drawing>
      </w:r>
    </w:p>
    <w:p w14:paraId="293E16C9">
      <w:pPr>
        <w:jc w:val="center"/>
        <w:outlineLvl w:val="9"/>
        <w:rPr>
          <w:rFonts w:hint="eastAsia"/>
        </w:rPr>
      </w:pPr>
      <w:r>
        <w:rPr>
          <w:rFonts w:hint="eastAsia"/>
        </w:rPr>
        <w:t>图</w:t>
      </w:r>
      <w:r>
        <w:rPr>
          <w:rFonts w:hint="eastAsia"/>
          <w:lang w:val="en-US" w:eastAsia="zh-CN"/>
        </w:rPr>
        <w:t>4-10</w:t>
      </w:r>
      <w:r>
        <w:rPr>
          <w:rFonts w:hint="eastAsia"/>
        </w:rPr>
        <w:t xml:space="preserve"> 悬挂底座设计图</w:t>
      </w:r>
    </w:p>
    <w:p w14:paraId="45C89404">
      <w:pPr>
        <w:widowControl/>
        <w:spacing w:line="360" w:lineRule="auto"/>
        <w:jc w:val="left"/>
        <w:outlineLvl w:val="2"/>
        <w:rPr>
          <w:rFonts w:hint="eastAsia" w:ascii="仿宋_GB2312" w:eastAsia="仿宋_GB2312"/>
          <w:sz w:val="32"/>
          <w:szCs w:val="28"/>
        </w:rPr>
      </w:pPr>
      <w:r>
        <w:rPr>
          <w:rFonts w:hint="eastAsia" w:ascii="仿宋_GB2312" w:eastAsia="仿宋_GB2312"/>
          <w:sz w:val="32"/>
          <w:szCs w:val="28"/>
          <w:lang w:val="en-US" w:eastAsia="zh-CN"/>
        </w:rPr>
        <w:t>4.3.</w:t>
      </w:r>
      <w:r>
        <w:rPr>
          <w:rFonts w:hint="eastAsia" w:ascii="仿宋_GB2312" w:eastAsia="仿宋_GB2312"/>
          <w:sz w:val="32"/>
          <w:szCs w:val="28"/>
        </w:rPr>
        <w:t>3</w:t>
      </w:r>
      <w:r>
        <w:rPr>
          <w:rFonts w:hint="eastAsia" w:ascii="仿宋_GB2312" w:eastAsia="仿宋_GB2312"/>
          <w:sz w:val="32"/>
          <w:szCs w:val="28"/>
          <w:lang w:eastAsia="zh-CN"/>
        </w:rPr>
        <w:t>.</w:t>
      </w:r>
      <w:r>
        <w:rPr>
          <w:rFonts w:hint="eastAsia" w:ascii="仿宋_GB2312" w:eastAsia="仿宋_GB2312"/>
          <w:sz w:val="32"/>
          <w:szCs w:val="28"/>
        </w:rPr>
        <w:t>结果分析</w:t>
      </w:r>
    </w:p>
    <w:p w14:paraId="254D521D">
      <w:pPr>
        <w:widowControl/>
        <w:spacing w:line="360" w:lineRule="auto"/>
        <w:ind w:firstLine="640" w:firstLineChars="200"/>
        <w:jc w:val="left"/>
        <w:rPr>
          <w:rFonts w:hint="eastAsia" w:ascii="仿宋_GB2312" w:eastAsia="仿宋_GB2312"/>
          <w:sz w:val="32"/>
          <w:szCs w:val="28"/>
        </w:rPr>
      </w:pPr>
      <w:r>
        <w:rPr>
          <w:rFonts w:hint="eastAsia" w:ascii="仿宋_GB2312" w:eastAsia="仿宋_GB2312"/>
          <w:sz w:val="32"/>
          <w:szCs w:val="28"/>
        </w:rPr>
        <w:t>通过仿真分析，部分孔规则失败，下面的孔在零件凹隙内的范围不足3/4，钻头会走位，为了不影响孔的定位，可以减少粗铣内槽的尺寸，以保证孔有3/4位于材料之内。所有规则均通过，零件的可制造性强，保证了零件的可加工性与加工成本的控制。</w:t>
      </w:r>
    </w:p>
    <w:p w14:paraId="41EC675E">
      <w:pPr>
        <w:jc w:val="center"/>
        <w:outlineLvl w:val="9"/>
        <w:rPr>
          <w:rFonts w:hint="eastAsia"/>
        </w:rPr>
      </w:pPr>
      <w:bookmarkStart w:id="48" w:name="_Toc45634965"/>
      <w:bookmarkStart w:id="49" w:name="_Toc45635102"/>
      <w:r>
        <w:rPr>
          <w:rFonts w:hint="eastAsia"/>
        </w:rPr>
        <w:t>表</w:t>
      </w:r>
      <w:r>
        <w:rPr>
          <w:rFonts w:hint="eastAsia"/>
          <w:lang w:val="en-US" w:eastAsia="zh-CN"/>
        </w:rPr>
        <w:t>4</w:t>
      </w:r>
      <w:r>
        <w:rPr>
          <w:rFonts w:hint="eastAsia"/>
        </w:rPr>
        <w:t>-</w:t>
      </w:r>
      <w:r>
        <w:rPr>
          <w:rFonts w:hint="eastAsia"/>
          <w:lang w:val="en-US" w:eastAsia="zh-CN"/>
        </w:rPr>
        <w:t>11</w:t>
      </w:r>
      <w:r>
        <w:rPr>
          <w:rFonts w:hint="eastAsia"/>
        </w:rPr>
        <w:t xml:space="preserve"> 悬挂固定安装座前后DFM对比表</w:t>
      </w:r>
      <w:bookmarkEnd w:id="48"/>
      <w:bookmarkEnd w:id="49"/>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98"/>
        <w:gridCol w:w="3189"/>
        <w:gridCol w:w="2833"/>
      </w:tblGrid>
      <w:tr w14:paraId="22576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2498" w:type="dxa"/>
          </w:tcPr>
          <w:p w14:paraId="39D09435">
            <w:pPr>
              <w:widowControl/>
              <w:spacing w:line="360" w:lineRule="auto"/>
              <w:ind w:firstLine="960" w:firstLineChars="400"/>
              <w:jc w:val="both"/>
              <w:rPr>
                <w:rFonts w:hint="eastAsia" w:ascii="宋体" w:hAnsi="宋体" w:eastAsia="宋体" w:cs="宋体"/>
                <w:sz w:val="24"/>
                <w:lang w:val="en-US" w:eastAsia="zh-CN"/>
              </w:rPr>
            </w:pPr>
            <w:r>
              <w:rPr>
                <w:rFonts w:hint="eastAsia" w:ascii="宋体" w:hAnsi="宋体" w:eastAsia="宋体" w:cs="宋体"/>
                <w:sz w:val="24"/>
                <w:lang w:val="en-US" w:eastAsia="zh-CN"/>
              </w:rPr>
              <w:t>项目</w:t>
            </w:r>
          </w:p>
        </w:tc>
        <w:tc>
          <w:tcPr>
            <w:tcW w:w="3189" w:type="dxa"/>
          </w:tcPr>
          <w:p w14:paraId="5B5CF798">
            <w:pPr>
              <w:widowControl/>
              <w:spacing w:line="360" w:lineRule="auto"/>
              <w:ind w:firstLine="1200" w:firstLineChars="500"/>
              <w:jc w:val="left"/>
              <w:rPr>
                <w:rFonts w:hint="default" w:ascii="宋体" w:hAnsi="宋体" w:eastAsia="宋体" w:cs="宋体"/>
                <w:sz w:val="24"/>
                <w:lang w:val="en-US" w:eastAsia="zh-CN"/>
              </w:rPr>
            </w:pPr>
            <w:r>
              <w:rPr>
                <w:rFonts w:hint="eastAsia" w:ascii="宋体" w:hAnsi="宋体" w:eastAsia="宋体" w:cs="宋体"/>
                <w:sz w:val="24"/>
                <w:lang w:val="en-US" w:eastAsia="zh-CN"/>
              </w:rPr>
              <w:t>DFM前</w:t>
            </w:r>
          </w:p>
        </w:tc>
        <w:tc>
          <w:tcPr>
            <w:tcW w:w="2833" w:type="dxa"/>
          </w:tcPr>
          <w:p w14:paraId="64840C2B">
            <w:pPr>
              <w:widowControl/>
              <w:spacing w:line="360" w:lineRule="auto"/>
              <w:ind w:firstLine="720" w:firstLineChars="300"/>
              <w:jc w:val="left"/>
              <w:rPr>
                <w:rFonts w:hint="default" w:ascii="宋体" w:hAnsi="宋体" w:eastAsia="宋体" w:cs="宋体"/>
                <w:sz w:val="24"/>
                <w:lang w:val="en-US" w:eastAsia="zh-CN"/>
              </w:rPr>
            </w:pPr>
            <w:r>
              <w:rPr>
                <w:rFonts w:hint="eastAsia" w:ascii="宋体" w:hAnsi="宋体" w:eastAsia="宋体" w:cs="宋体"/>
                <w:sz w:val="24"/>
                <w:lang w:val="en-US" w:eastAsia="zh-CN"/>
              </w:rPr>
              <w:t>DFM后</w:t>
            </w:r>
          </w:p>
        </w:tc>
      </w:tr>
      <w:tr w14:paraId="2434FD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85" w:hRule="atLeast"/>
          <w:jc w:val="center"/>
        </w:trPr>
        <w:tc>
          <w:tcPr>
            <w:tcW w:w="2498" w:type="dxa"/>
          </w:tcPr>
          <w:p w14:paraId="7A709EE1">
            <w:pPr>
              <w:widowControl/>
              <w:spacing w:line="360" w:lineRule="auto"/>
              <w:ind w:firstLine="480" w:firstLineChars="200"/>
              <w:jc w:val="left"/>
              <w:rPr>
                <w:rFonts w:hint="eastAsia" w:ascii="宋体" w:hAnsi="宋体" w:eastAsia="宋体" w:cs="宋体"/>
                <w:sz w:val="24"/>
                <w:lang w:val="en-US" w:eastAsia="zh-CN"/>
              </w:rPr>
            </w:pPr>
          </w:p>
          <w:p w14:paraId="012DA011">
            <w:pPr>
              <w:widowControl/>
              <w:spacing w:line="360" w:lineRule="auto"/>
              <w:ind w:firstLine="480" w:firstLineChars="200"/>
              <w:jc w:val="left"/>
              <w:rPr>
                <w:rFonts w:hint="eastAsia" w:ascii="宋体" w:hAnsi="宋体" w:eastAsia="宋体" w:cs="宋体"/>
                <w:sz w:val="24"/>
                <w:lang w:val="en-US" w:eastAsia="zh-CN"/>
              </w:rPr>
            </w:pPr>
          </w:p>
          <w:p w14:paraId="597EB8C4">
            <w:pPr>
              <w:widowControl/>
              <w:spacing w:line="360" w:lineRule="auto"/>
              <w:jc w:val="center"/>
              <w:rPr>
                <w:rFonts w:hint="eastAsia" w:ascii="宋体" w:hAnsi="宋体" w:eastAsia="宋体" w:cs="宋体"/>
                <w:sz w:val="24"/>
                <w:lang w:val="en-US" w:eastAsia="zh-CN"/>
              </w:rPr>
            </w:pPr>
            <w:r>
              <w:rPr>
                <w:rFonts w:hint="eastAsia" w:ascii="宋体" w:hAnsi="宋体" w:eastAsia="宋体" w:cs="宋体"/>
                <w:sz w:val="24"/>
                <w:lang w:val="en-US" w:eastAsia="zh-CN"/>
              </w:rPr>
              <w:t>外观</w:t>
            </w:r>
          </w:p>
        </w:tc>
        <w:tc>
          <w:tcPr>
            <w:tcW w:w="3189" w:type="dxa"/>
          </w:tcPr>
          <w:p w14:paraId="5EB34B53">
            <w:pPr>
              <w:widowControl/>
              <w:spacing w:line="360" w:lineRule="auto"/>
              <w:ind w:firstLine="480" w:firstLineChars="200"/>
              <w:jc w:val="left"/>
              <w:rPr>
                <w:rFonts w:hint="eastAsia" w:ascii="宋体" w:hAnsi="宋体" w:eastAsia="宋体" w:cs="宋体"/>
                <w:sz w:val="24"/>
              </w:rPr>
            </w:pPr>
            <w:r>
              <w:rPr>
                <w:rFonts w:hint="eastAsia" w:ascii="宋体" w:hAnsi="宋体" w:eastAsia="宋体" w:cs="宋体"/>
                <w:sz w:val="24"/>
              </w:rPr>
              <w:drawing>
                <wp:inline distT="0" distB="0" distL="114300" distR="114300">
                  <wp:extent cx="1447800" cy="1219200"/>
                  <wp:effectExtent l="0" t="0" r="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6"/>
                          <a:stretch>
                            <a:fillRect/>
                          </a:stretch>
                        </pic:blipFill>
                        <pic:spPr>
                          <a:xfrm>
                            <a:off x="0" y="0"/>
                            <a:ext cx="1447800" cy="1219200"/>
                          </a:xfrm>
                          <a:prstGeom prst="rect">
                            <a:avLst/>
                          </a:prstGeom>
                          <a:noFill/>
                          <a:ln>
                            <a:noFill/>
                          </a:ln>
                        </pic:spPr>
                      </pic:pic>
                    </a:graphicData>
                  </a:graphic>
                </wp:inline>
              </w:drawing>
            </w:r>
          </w:p>
        </w:tc>
        <w:tc>
          <w:tcPr>
            <w:tcW w:w="2833" w:type="dxa"/>
          </w:tcPr>
          <w:p w14:paraId="23BBCD5C">
            <w:pPr>
              <w:widowControl/>
              <w:spacing w:line="360" w:lineRule="auto"/>
              <w:ind w:firstLine="480" w:firstLineChars="200"/>
              <w:jc w:val="left"/>
              <w:rPr>
                <w:rFonts w:hint="eastAsia" w:ascii="宋体" w:hAnsi="宋体" w:eastAsia="宋体" w:cs="宋体"/>
                <w:sz w:val="24"/>
              </w:rPr>
            </w:pPr>
            <w:r>
              <w:rPr>
                <w:rFonts w:hint="eastAsia" w:ascii="宋体" w:hAnsi="宋体" w:eastAsia="宋体" w:cs="宋体"/>
                <w:sz w:val="24"/>
              </w:rPr>
              <w:drawing>
                <wp:inline distT="0" distB="0" distL="114300" distR="114300">
                  <wp:extent cx="1257300" cy="1165860"/>
                  <wp:effectExtent l="0" t="0" r="7620" b="762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7"/>
                          <a:stretch>
                            <a:fillRect/>
                          </a:stretch>
                        </pic:blipFill>
                        <pic:spPr>
                          <a:xfrm>
                            <a:off x="0" y="0"/>
                            <a:ext cx="1257300" cy="1165860"/>
                          </a:xfrm>
                          <a:prstGeom prst="rect">
                            <a:avLst/>
                          </a:prstGeom>
                          <a:noFill/>
                          <a:ln>
                            <a:noFill/>
                          </a:ln>
                        </pic:spPr>
                      </pic:pic>
                    </a:graphicData>
                  </a:graphic>
                </wp:inline>
              </w:drawing>
            </w:r>
          </w:p>
        </w:tc>
      </w:tr>
      <w:tr w14:paraId="6F279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2498" w:type="dxa"/>
          </w:tcPr>
          <w:p w14:paraId="546C80CE">
            <w:pPr>
              <w:widowControl/>
              <w:spacing w:line="360" w:lineRule="auto"/>
              <w:ind w:firstLine="720" w:firstLineChars="300"/>
              <w:jc w:val="left"/>
              <w:rPr>
                <w:rFonts w:hint="default" w:ascii="宋体" w:hAnsi="宋体" w:eastAsia="宋体" w:cs="宋体"/>
                <w:sz w:val="24"/>
                <w:lang w:val="en-US" w:eastAsia="zh-CN"/>
              </w:rPr>
            </w:pPr>
            <w:r>
              <w:rPr>
                <w:rFonts w:hint="eastAsia" w:ascii="宋体" w:hAnsi="宋体" w:eastAsia="宋体" w:cs="宋体"/>
                <w:sz w:val="24"/>
                <w:lang w:val="en-US" w:eastAsia="zh-CN"/>
              </w:rPr>
              <w:t>改进项目</w:t>
            </w:r>
          </w:p>
        </w:tc>
        <w:tc>
          <w:tcPr>
            <w:tcW w:w="3189" w:type="dxa"/>
          </w:tcPr>
          <w:p w14:paraId="0CAAF42E">
            <w:pPr>
              <w:widowControl/>
              <w:spacing w:line="360" w:lineRule="auto"/>
              <w:ind w:firstLine="720" w:firstLineChars="300"/>
              <w:jc w:val="left"/>
              <w:rPr>
                <w:rFonts w:hint="default" w:ascii="宋体" w:hAnsi="宋体" w:eastAsia="宋体" w:cs="宋体"/>
                <w:sz w:val="24"/>
                <w:lang w:val="en-US" w:eastAsia="zh-CN"/>
              </w:rPr>
            </w:pPr>
            <w:r>
              <w:rPr>
                <w:rFonts w:hint="eastAsia" w:ascii="宋体" w:hAnsi="宋体" w:eastAsia="宋体" w:cs="宋体"/>
                <w:sz w:val="24"/>
                <w:lang w:val="en-US" w:eastAsia="zh-CN"/>
              </w:rPr>
              <w:t>底面厚度3mm</w:t>
            </w:r>
          </w:p>
        </w:tc>
        <w:tc>
          <w:tcPr>
            <w:tcW w:w="2833" w:type="dxa"/>
          </w:tcPr>
          <w:p w14:paraId="689F3803">
            <w:pPr>
              <w:widowControl/>
              <w:spacing w:line="360" w:lineRule="auto"/>
              <w:ind w:firstLine="480" w:firstLineChars="200"/>
              <w:jc w:val="left"/>
              <w:rPr>
                <w:rFonts w:hint="default" w:ascii="宋体" w:hAnsi="宋体" w:eastAsia="宋体" w:cs="宋体"/>
                <w:sz w:val="24"/>
                <w:lang w:val="en-US" w:eastAsia="zh-CN"/>
              </w:rPr>
            </w:pPr>
            <w:r>
              <w:rPr>
                <w:rFonts w:hint="eastAsia" w:ascii="宋体" w:hAnsi="宋体" w:eastAsia="宋体" w:cs="宋体"/>
                <w:sz w:val="24"/>
                <w:lang w:val="en-US" w:eastAsia="zh-CN"/>
              </w:rPr>
              <w:t>底面厚度4.2mm</w:t>
            </w:r>
          </w:p>
        </w:tc>
      </w:tr>
      <w:tr w14:paraId="38390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2498" w:type="dxa"/>
          </w:tcPr>
          <w:p w14:paraId="2BB1D4AF">
            <w:pPr>
              <w:widowControl/>
              <w:spacing w:line="360" w:lineRule="auto"/>
              <w:ind w:firstLine="720" w:firstLineChars="300"/>
              <w:jc w:val="left"/>
              <w:rPr>
                <w:rFonts w:hint="default" w:ascii="宋体" w:hAnsi="宋体" w:eastAsia="宋体" w:cs="宋体"/>
                <w:sz w:val="24"/>
                <w:lang w:val="en-US" w:eastAsia="zh-CN"/>
              </w:rPr>
            </w:pPr>
            <w:r>
              <w:rPr>
                <w:rFonts w:hint="eastAsia" w:ascii="宋体" w:hAnsi="宋体" w:eastAsia="宋体" w:cs="宋体"/>
                <w:sz w:val="24"/>
                <w:lang w:val="en-US" w:eastAsia="zh-CN"/>
              </w:rPr>
              <w:t>可制造性</w:t>
            </w:r>
          </w:p>
        </w:tc>
        <w:tc>
          <w:tcPr>
            <w:tcW w:w="3189" w:type="dxa"/>
          </w:tcPr>
          <w:p w14:paraId="735725C2">
            <w:pPr>
              <w:widowControl/>
              <w:spacing w:line="360" w:lineRule="auto"/>
              <w:ind w:firstLine="720" w:firstLineChars="300"/>
              <w:jc w:val="left"/>
              <w:rPr>
                <w:rFonts w:hint="default" w:ascii="宋体" w:hAnsi="宋体" w:eastAsia="宋体" w:cs="宋体"/>
                <w:sz w:val="24"/>
                <w:lang w:val="en-US" w:eastAsia="zh-CN"/>
              </w:rPr>
            </w:pPr>
            <w:r>
              <w:rPr>
                <w:rFonts w:hint="eastAsia" w:ascii="宋体" w:hAnsi="宋体" w:eastAsia="宋体" w:cs="宋体"/>
                <w:sz w:val="24"/>
                <w:lang w:val="en-US" w:eastAsia="zh-CN"/>
              </w:rPr>
              <w:t>影响孔的定位</w:t>
            </w:r>
          </w:p>
        </w:tc>
        <w:tc>
          <w:tcPr>
            <w:tcW w:w="2833" w:type="dxa"/>
          </w:tcPr>
          <w:p w14:paraId="2A74BCC2">
            <w:pPr>
              <w:widowControl/>
              <w:spacing w:line="360" w:lineRule="auto"/>
              <w:ind w:firstLine="480" w:firstLineChars="200"/>
              <w:jc w:val="left"/>
              <w:rPr>
                <w:rFonts w:hint="default" w:ascii="宋体" w:hAnsi="宋体" w:eastAsia="宋体" w:cs="宋体"/>
                <w:sz w:val="24"/>
                <w:lang w:val="en-US" w:eastAsia="zh-CN"/>
              </w:rPr>
            </w:pPr>
            <w:r>
              <w:rPr>
                <w:rFonts w:hint="eastAsia" w:ascii="宋体" w:hAnsi="宋体" w:eastAsia="宋体" w:cs="宋体"/>
                <w:sz w:val="24"/>
                <w:lang w:val="en-US" w:eastAsia="zh-CN"/>
              </w:rPr>
              <w:t>孔的定位良好</w:t>
            </w:r>
          </w:p>
        </w:tc>
      </w:tr>
    </w:tbl>
    <w:p w14:paraId="089EBEEA">
      <w:pPr>
        <w:pStyle w:val="3"/>
        <w:bidi w:val="0"/>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bookmarkStart w:id="50" w:name="_Toc45635103"/>
      <w:bookmarkStart w:id="51" w:name="_Toc45634966"/>
      <w:bookmarkStart w:id="52" w:name="_Toc7535"/>
      <w:r>
        <w:rPr>
          <w:rFonts w:hint="eastAsia" w:ascii="仿宋_GB2312" w:hAnsi="Times New Roman" w:eastAsia="仿宋_GB2312" w:cstheme="minorBidi"/>
          <w:b w:val="0"/>
          <w:kern w:val="2"/>
          <w:sz w:val="32"/>
          <w:szCs w:val="28"/>
          <w:lang w:val="en-US" w:eastAsia="zh-CN" w:bidi="ar-SA"/>
        </w:rPr>
        <w:t>4.3.4“电机固定座”</w:t>
      </w:r>
      <w:bookmarkEnd w:id="50"/>
      <w:bookmarkEnd w:id="51"/>
      <w:r>
        <w:rPr>
          <w:rFonts w:hint="eastAsia" w:ascii="仿宋_GB2312" w:hAnsi="Times New Roman" w:eastAsia="仿宋_GB2312" w:cstheme="minorBidi"/>
          <w:b w:val="0"/>
          <w:kern w:val="2"/>
          <w:sz w:val="32"/>
          <w:szCs w:val="28"/>
          <w:lang w:val="en-US" w:eastAsia="zh-CN" w:bidi="ar-SA"/>
        </w:rPr>
        <w:t>精减面向制造的设计分析</w:t>
      </w:r>
      <w:bookmarkEnd w:id="52"/>
    </w:p>
    <w:p w14:paraId="67E35BB6">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此零件是一个电机的固定座，适用于工程机器人抬升及夹取方面。相比较与轮组的固定座，电机径向力相对较小，为了加工的方便可用钣金件。</w:t>
      </w:r>
    </w:p>
    <w:p w14:paraId="1DCB119A">
      <w:pPr>
        <w:widowControl/>
        <w:spacing w:line="360" w:lineRule="auto"/>
        <w:ind w:firstLine="480" w:firstLineChars="200"/>
        <w:jc w:val="left"/>
        <w:rPr>
          <w:rFonts w:hint="eastAsia" w:asciiTheme="minorEastAsia" w:hAnsiTheme="minorEastAsia" w:cstheme="minorEastAsia"/>
          <w:sz w:val="24"/>
        </w:rPr>
      </w:pPr>
      <w:r>
        <w:rPr>
          <w:rFonts w:hint="eastAsia" w:asciiTheme="minorEastAsia" w:hAnsiTheme="minorEastAsia" w:cstheme="minorEastAsia"/>
          <w:sz w:val="24"/>
        </w:rPr>
        <w:drawing>
          <wp:inline distT="0" distB="0" distL="114300" distR="114300">
            <wp:extent cx="4401820" cy="2981960"/>
            <wp:effectExtent l="0" t="0" r="2540" b="508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8">
                      <a:lum contrast="30000"/>
                    </a:blip>
                    <a:stretch>
                      <a:fillRect/>
                    </a:stretch>
                  </pic:blipFill>
                  <pic:spPr>
                    <a:xfrm>
                      <a:off x="0" y="0"/>
                      <a:ext cx="4401820" cy="2981960"/>
                    </a:xfrm>
                    <a:prstGeom prst="rect">
                      <a:avLst/>
                    </a:prstGeom>
                    <a:noFill/>
                    <a:ln>
                      <a:noFill/>
                    </a:ln>
                  </pic:spPr>
                </pic:pic>
              </a:graphicData>
            </a:graphic>
          </wp:inline>
        </w:drawing>
      </w:r>
    </w:p>
    <w:p w14:paraId="3B16635B">
      <w:pPr>
        <w:jc w:val="center"/>
        <w:outlineLvl w:val="9"/>
        <w:rPr>
          <w:rFonts w:hint="eastAsia"/>
        </w:rPr>
      </w:pPr>
      <w:bookmarkStart w:id="53" w:name="_Toc45634967"/>
      <w:bookmarkStart w:id="54" w:name="_Toc45635104"/>
      <w:r>
        <w:rPr>
          <w:rFonts w:hint="eastAsia"/>
        </w:rPr>
        <w:t>图</w:t>
      </w:r>
      <w:r>
        <w:rPr>
          <w:rFonts w:hint="eastAsia"/>
          <w:lang w:val="en-US" w:eastAsia="zh-CN"/>
        </w:rPr>
        <w:t>4-12</w:t>
      </w:r>
      <w:r>
        <w:rPr>
          <w:rFonts w:hint="eastAsia"/>
        </w:rPr>
        <w:t xml:space="preserve"> 电机固定座设计图</w:t>
      </w:r>
      <w:bookmarkEnd w:id="53"/>
      <w:bookmarkEnd w:id="54"/>
    </w:p>
    <w:p w14:paraId="47E230CB">
      <w:pPr>
        <w:jc w:val="center"/>
        <w:outlineLvl w:val="9"/>
        <w:rPr>
          <w:rFonts w:hint="eastAsia"/>
        </w:rPr>
      </w:pPr>
    </w:p>
    <w:p w14:paraId="22EC5D1E">
      <w:pPr>
        <w:pStyle w:val="11"/>
        <w:numPr>
          <w:ilvl w:val="0"/>
          <w:numId w:val="1"/>
        </w:numPr>
        <w:ind w:firstLineChars="0"/>
        <w:outlineLvl w:val="0"/>
        <w:rPr>
          <w:rFonts w:ascii="方正黑体_GBK" w:eastAsia="方正黑体_GBK"/>
          <w:sz w:val="32"/>
          <w:szCs w:val="28"/>
        </w:rPr>
      </w:pPr>
      <w:r>
        <w:rPr>
          <w:rFonts w:hint="eastAsia" w:ascii="方正黑体_GBK" w:eastAsia="方正黑体_GBK"/>
          <w:sz w:val="32"/>
          <w:szCs w:val="28"/>
        </w:rPr>
        <w:t>目的和思路</w:t>
      </w:r>
    </w:p>
    <w:p w14:paraId="4C74B526">
      <w:pPr>
        <w:pStyle w:val="11"/>
        <w:rPr>
          <w:rFonts w:hint="eastAsia" w:ascii="仿宋_GB2312" w:eastAsia="仿宋_GB2312" w:cstheme="minorBidi"/>
          <w:b w:val="0"/>
          <w:kern w:val="2"/>
          <w:sz w:val="32"/>
          <w:szCs w:val="28"/>
          <w:lang w:val="en-US" w:eastAsia="zh-CN" w:bidi="ar-SA"/>
        </w:rPr>
      </w:pPr>
      <w:r>
        <w:rPr>
          <w:rFonts w:hint="eastAsia" w:ascii="仿宋_GB2312" w:eastAsia="仿宋_GB2312"/>
          <w:sz w:val="32"/>
          <w:szCs w:val="28"/>
          <w:lang w:val="en-US" w:eastAsia="zh-CN"/>
        </w:rPr>
        <w:t>本作品的创作目的</w:t>
      </w:r>
      <w:r>
        <w:rPr>
          <w:rFonts w:hint="eastAsia" w:ascii="仿宋_GB2312" w:eastAsia="仿宋_GB2312"/>
          <w:sz w:val="32"/>
          <w:szCs w:val="28"/>
        </w:rPr>
        <w:t>全方位球类训练平台的全自动机器人可通过遥控器或电脑的控制在整个球类训练场进行全方位移动。整体设计上分为云台装置与底盘控制装置两大部分，云台装置控制整体的运动方向，且装有发射装置，用于发射球类来实现基本功能。底盘控制装置搭载的悬挂系统可让机器人适合球场的不同地形，而且装有两个主从动链轮，通过链条以及集电滑环的配合来实现云台定位旋转的创新性功能实现。整体上通过遥控器来控制云台的方向引导、底盘前进后退以及云台的发射功能，从而实现全方位的发射球类。</w:t>
      </w:r>
      <w:bookmarkStart w:id="55" w:name="_Toc15551"/>
      <w:r>
        <w:rPr>
          <w:rFonts w:hint="eastAsia" w:ascii="仿宋_GB2312" w:hAnsi="Times New Roman" w:eastAsia="仿宋_GB2312" w:cstheme="minorBidi"/>
          <w:b w:val="0"/>
          <w:kern w:val="2"/>
          <w:sz w:val="32"/>
          <w:szCs w:val="28"/>
          <w:lang w:val="en-US" w:eastAsia="zh-CN" w:bidi="ar-SA"/>
        </w:rPr>
        <w:t>本作品的创作</w:t>
      </w:r>
      <w:r>
        <w:rPr>
          <w:rFonts w:hint="eastAsia" w:ascii="仿宋_GB2312" w:eastAsia="仿宋_GB2312" w:cstheme="minorBidi"/>
          <w:b w:val="0"/>
          <w:kern w:val="2"/>
          <w:sz w:val="32"/>
          <w:szCs w:val="28"/>
          <w:lang w:val="en-US" w:eastAsia="zh-CN" w:bidi="ar-SA"/>
        </w:rPr>
        <w:t>思路</w:t>
      </w:r>
    </w:p>
    <w:p w14:paraId="7A009D11">
      <w:pPr>
        <w:pStyle w:val="11"/>
        <w:ind w:left="0" w:leftChars="0" w:firstLine="0" w:firstLineChars="0"/>
        <w:outlineLvl w:val="1"/>
        <w:rPr>
          <w:rFonts w:hint="eastAsia" w:ascii="仿宋_GB2312" w:hAnsi="Times New Roman" w:eastAsia="仿宋_GB2312" w:cstheme="minorBidi"/>
          <w:b w:val="0"/>
          <w:kern w:val="2"/>
          <w:sz w:val="32"/>
          <w:szCs w:val="28"/>
          <w:lang w:val="en-US" w:eastAsia="zh-CN" w:bidi="ar-SA"/>
        </w:rPr>
      </w:pPr>
      <w:r>
        <w:rPr>
          <w:rFonts w:hint="eastAsia" w:ascii="仿宋_GB2312" w:eastAsia="仿宋_GB2312" w:cstheme="minorBidi"/>
          <w:b w:val="0"/>
          <w:kern w:val="2"/>
          <w:sz w:val="32"/>
          <w:szCs w:val="28"/>
          <w:lang w:val="en-US" w:eastAsia="zh-CN" w:bidi="ar-SA"/>
        </w:rPr>
        <w:t>1.</w:t>
      </w:r>
      <w:r>
        <w:rPr>
          <w:rFonts w:hint="eastAsia" w:ascii="仿宋_GB2312" w:hAnsi="Times New Roman" w:eastAsia="仿宋_GB2312" w:cstheme="minorBidi"/>
          <w:b w:val="0"/>
          <w:kern w:val="2"/>
          <w:sz w:val="32"/>
          <w:szCs w:val="28"/>
          <w:lang w:val="en-US" w:eastAsia="zh-CN" w:bidi="ar-SA"/>
        </w:rPr>
        <w:t>底盘装置</w:t>
      </w:r>
      <w:bookmarkEnd w:id="55"/>
    </w:p>
    <w:p w14:paraId="4650A26F">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底盘通过四个M3508直流无刷减速电机带动整体的底盘运动，底盘采用麦克纳姆轮进行运动，之间采用悬挂连接可以有良好的防震效果，来适应全方位移动以及适应各种地形的运动。底盘与云台处采用集电滑环相连，以及主从动链轮配有链条，实现云台定位旋转的功能实现。</w:t>
      </w:r>
      <w:bookmarkStart w:id="56" w:name="_Toc3728"/>
    </w:p>
    <w:p w14:paraId="7B1A1B8D">
      <w:pPr>
        <w:widowControl/>
        <w:spacing w:line="360" w:lineRule="auto"/>
        <w:jc w:val="left"/>
        <w:outlineLvl w:val="1"/>
        <w:rPr>
          <w:rFonts w:hint="eastAsia" w:ascii="仿宋_GB2312" w:hAnsi="Times New Roman" w:eastAsia="仿宋_GB2312" w:cstheme="minorBidi"/>
          <w:b w:val="0"/>
          <w:kern w:val="2"/>
          <w:sz w:val="32"/>
          <w:szCs w:val="28"/>
          <w:lang w:val="en-US" w:eastAsia="zh-CN" w:bidi="ar-SA"/>
        </w:rPr>
      </w:pPr>
      <w:r>
        <w:rPr>
          <w:rFonts w:hint="eastAsia" w:ascii="仿宋_GB2312" w:eastAsia="仿宋_GB2312" w:cstheme="minorBidi"/>
          <w:b w:val="0"/>
          <w:kern w:val="2"/>
          <w:sz w:val="32"/>
          <w:szCs w:val="28"/>
          <w:lang w:val="en-US" w:eastAsia="zh-CN" w:bidi="ar-SA"/>
        </w:rPr>
        <w:t>2.</w:t>
      </w:r>
      <w:r>
        <w:rPr>
          <w:rFonts w:hint="eastAsia" w:ascii="仿宋_GB2312" w:hAnsi="Times New Roman" w:eastAsia="仿宋_GB2312" w:cstheme="minorBidi"/>
          <w:b w:val="0"/>
          <w:kern w:val="2"/>
          <w:sz w:val="32"/>
          <w:szCs w:val="28"/>
          <w:lang w:val="en-US" w:eastAsia="zh-CN" w:bidi="ar-SA"/>
        </w:rPr>
        <w:t>发射装置</w:t>
      </w:r>
      <w:bookmarkEnd w:id="56"/>
    </w:p>
    <w:p w14:paraId="2C083E82">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发射装置采用两个摩擦轮将弹丸发射，同时使用遥控器控制单点发射和连续发射等模式，并且通过软件控制发射机构，来实现模拟发射轨迹的功能，同时还可以在设置好发射角度、发射速度、发射方向等条件后，进行规定程序下的连续发射，脱离遥控器的控制，来降低使用者的工作强度，从而提升工作效率。</w:t>
      </w:r>
      <w:bookmarkStart w:id="57" w:name="_Toc8975"/>
    </w:p>
    <w:p w14:paraId="0DE7992F">
      <w:pPr>
        <w:widowControl/>
        <w:spacing w:line="360" w:lineRule="auto"/>
        <w:jc w:val="left"/>
        <w:outlineLvl w:val="1"/>
        <w:rPr>
          <w:rFonts w:hint="eastAsia" w:ascii="仿宋_GB2312" w:hAnsi="Times New Roman" w:eastAsia="仿宋_GB2312" w:cstheme="minorBidi"/>
          <w:b w:val="0"/>
          <w:kern w:val="2"/>
          <w:sz w:val="32"/>
          <w:szCs w:val="28"/>
          <w:lang w:val="en-US" w:eastAsia="zh-CN" w:bidi="ar-SA"/>
        </w:rPr>
      </w:pPr>
      <w:r>
        <w:rPr>
          <w:rFonts w:hint="eastAsia" w:ascii="仿宋_GB2312" w:eastAsia="仿宋_GB2312" w:cstheme="minorBidi"/>
          <w:b w:val="0"/>
          <w:kern w:val="2"/>
          <w:sz w:val="32"/>
          <w:szCs w:val="28"/>
          <w:lang w:val="en-US" w:eastAsia="zh-CN" w:bidi="ar-SA"/>
        </w:rPr>
        <w:t>3.</w:t>
      </w:r>
      <w:r>
        <w:rPr>
          <w:rFonts w:hint="eastAsia" w:ascii="仿宋_GB2312" w:hAnsi="Times New Roman" w:eastAsia="仿宋_GB2312" w:cstheme="minorBidi"/>
          <w:b w:val="0"/>
          <w:kern w:val="2"/>
          <w:sz w:val="32"/>
          <w:szCs w:val="28"/>
          <w:lang w:val="en-US" w:eastAsia="zh-CN" w:bidi="ar-SA"/>
        </w:rPr>
        <w:t>云台装置</w:t>
      </w:r>
      <w:bookmarkEnd w:id="57"/>
    </w:p>
    <w:p w14:paraId="7BC64E2F">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云台装置用于控制底盘的运动方向，来实现全方位的移动的基本功能，同时配合底盘处的集电滑环的以及主从链轮的设计，来实现云台定向旋转的功能需求，从而提升整体的创新性。</w:t>
      </w:r>
      <w:bookmarkStart w:id="58" w:name="_Toc14704"/>
    </w:p>
    <w:p w14:paraId="6C36BD4A">
      <w:pPr>
        <w:widowControl/>
        <w:spacing w:line="360" w:lineRule="auto"/>
        <w:jc w:val="left"/>
        <w:outlineLvl w:val="1"/>
        <w:rPr>
          <w:rFonts w:hint="eastAsia" w:ascii="仿宋_GB2312" w:hAnsi="Times New Roman" w:eastAsia="仿宋_GB2312" w:cstheme="minorBidi"/>
          <w:b w:val="0"/>
          <w:kern w:val="2"/>
          <w:sz w:val="32"/>
          <w:szCs w:val="28"/>
          <w:lang w:val="en-US" w:eastAsia="zh-CN" w:bidi="ar-SA"/>
        </w:rPr>
      </w:pPr>
      <w:r>
        <w:rPr>
          <w:rFonts w:hint="eastAsia" w:ascii="仿宋_GB2312" w:eastAsia="仿宋_GB2312" w:cstheme="minorBidi"/>
          <w:b w:val="0"/>
          <w:kern w:val="2"/>
          <w:sz w:val="32"/>
          <w:szCs w:val="28"/>
          <w:lang w:val="en-US" w:eastAsia="zh-CN" w:bidi="ar-SA"/>
        </w:rPr>
        <w:t>4.</w:t>
      </w:r>
      <w:r>
        <w:rPr>
          <w:rFonts w:hint="eastAsia" w:ascii="仿宋_GB2312" w:hAnsi="Times New Roman" w:eastAsia="仿宋_GB2312" w:cstheme="minorBidi"/>
          <w:b w:val="0"/>
          <w:kern w:val="2"/>
          <w:sz w:val="32"/>
          <w:szCs w:val="28"/>
          <w:lang w:val="en-US" w:eastAsia="zh-CN" w:bidi="ar-SA"/>
        </w:rPr>
        <w:t>拨弹装置</w:t>
      </w:r>
      <w:bookmarkEnd w:id="58"/>
    </w:p>
    <w:p w14:paraId="294288F8">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拨弹装置与发射装置相连，用于储存大量弹丸，且通过拨弹盘的M3508电机的转动，将弹丸通过供弹链路送入发射机构，从而实现精准发射的功能需求。</w:t>
      </w:r>
    </w:p>
    <w:p w14:paraId="0A62A6C3">
      <w:pPr>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br w:type="page"/>
      </w:r>
    </w:p>
    <w:p w14:paraId="774FBF0E">
      <w:pPr>
        <w:pStyle w:val="11"/>
        <w:ind w:left="720" w:firstLine="0" w:firstLineChars="0"/>
        <w:rPr>
          <w:rFonts w:hint="eastAsia" w:ascii="仿宋_GB2312" w:eastAsia="仿宋_GB2312"/>
          <w:sz w:val="32"/>
          <w:szCs w:val="28"/>
        </w:rPr>
      </w:pPr>
    </w:p>
    <w:p w14:paraId="04D48C49">
      <w:pPr>
        <w:pStyle w:val="11"/>
        <w:numPr>
          <w:ilvl w:val="0"/>
          <w:numId w:val="1"/>
        </w:numPr>
        <w:ind w:firstLineChars="0"/>
        <w:outlineLvl w:val="0"/>
        <w:rPr>
          <w:rFonts w:ascii="方正黑体_GBK" w:eastAsia="方正黑体_GBK"/>
          <w:sz w:val="32"/>
          <w:szCs w:val="28"/>
        </w:rPr>
      </w:pPr>
      <w:r>
        <w:rPr>
          <w:rFonts w:hint="eastAsia" w:ascii="方正黑体_GBK" w:eastAsia="方正黑体_GBK"/>
          <w:sz w:val="32"/>
          <w:szCs w:val="28"/>
        </w:rPr>
        <w:t>设计方案</w:t>
      </w:r>
    </w:p>
    <w:p w14:paraId="20D43596">
      <w:pPr>
        <w:pStyle w:val="2"/>
        <w:bidi w:val="0"/>
        <w:ind w:left="0" w:leftChars="0" w:firstLine="0" w:firstLineChars="0"/>
        <w:outlineLvl w:val="1"/>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6.1嵌入式控制系统设计</w:t>
      </w:r>
    </w:p>
    <w:p w14:paraId="5638301D">
      <w:pPr>
        <w:bidi w:val="0"/>
        <w:ind w:left="0" w:leftChars="0" w:firstLine="640" w:firstLineChars="200"/>
        <w:outlineLvl w:val="9"/>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采用STM32F4系列处理器作为主控制器负责分析处理数据,输出电机控制信号；主要使用惯性测量单元MPU6050等传感器模块用于姿态信息的检测；使用OMRON E6B2-CWZ6C旋转编码器实现射速的闭环控制；整个软硬件系统均基于模块化设计的思想。各传感器采集到的发射平台数据都使用通用数字接口和MCU进行数据交换和通信。从而实现高速，稳定的工作。</w:t>
      </w:r>
    </w:p>
    <w:p w14:paraId="32301D76">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MPU6050用于发射平台的姿态的实时调整，为了提升运行过程的可靠性，需要获取发射平台的俯仰角以及地磁角作为姿态反馈，形成闭环控制，本组发射平台选用MPU6050模块陀螺仪和地磁计采集数据，，并将所得数据传至主控芯片进行飞行姿态解算，主控芯片STM32F427通过CAN通信控制C620电调改变每个电机转速，使发射平台按照预设路线移动。</w:t>
      </w:r>
    </w:p>
    <w:p w14:paraId="526ACBFF">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采用OMRON E6B2-CWZ6C旋转编码器实现对于发射机构的摩擦轮的转速检测，同时使用光电门检测发射速度，与程序预设的摩擦轮转速进行比较，形成闭环控制，实现发射速度的稳定。</w:t>
      </w:r>
    </w:p>
    <w:p w14:paraId="56AF7CCF">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底盘控制装置包括M3508直流无刷减速电机、集电滑环、麦克纳姆轮、方铝型材，同时加上主传动链轮，通过链条连接从动链轮通过滑盘的内环连接到云台上面，滑盘外部通过玻纤板以及杆件固定，来保证云台定位旋转的功能体现，而且在车身上加两个麦克纳姆轮通过联轴器接在M3508直流无刷减速电机上，麦克纳姆轮与底盘之间安装有悬挂，可以有良好的防震效果。运用STM32F427开发板为核心的实现控制。</w:t>
      </w:r>
    </w:p>
    <w:p w14:paraId="1D2F28F1">
      <w:pPr>
        <w:pStyle w:val="3"/>
        <w:jc w:val="left"/>
        <w:outlineLvl w:val="2"/>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6.1.1 M3508直流无刷减速电机</w:t>
      </w:r>
    </w:p>
    <w:p w14:paraId="43B07DD2">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M3508直流无刷减速电机全向驱动，该电机是专为中小型移动平台打造的高性能伺服电机，可搭配C620电调实现正弦驱动，相比传统方波驱动具有更高的效率、机动性和稳定性。</w:t>
      </w:r>
    </w:p>
    <w:p w14:paraId="65EDAEC5">
      <w:pPr>
        <w:pStyle w:val="3"/>
        <w:jc w:val="left"/>
        <w:outlineLvl w:val="2"/>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6.1.2 C620电调</w:t>
      </w:r>
    </w:p>
    <w:p w14:paraId="3FCE7CA3">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C620电调采用32位定制电机驱动芯片，使用磁场定向控制（FOC）技术，实现对电机转矩的精确控制，与M3508直流无刷减速电机搭配，组成强大的动力套件。</w:t>
      </w:r>
    </w:p>
    <w:p w14:paraId="4A23B37D">
      <w:pPr>
        <w:pStyle w:val="3"/>
        <w:ind w:left="0" w:leftChars="0" w:firstLine="0" w:firstLineChars="0"/>
        <w:jc w:val="left"/>
        <w:outlineLvl w:val="2"/>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6.1.3 STM32F427开发板</w:t>
      </w:r>
    </w:p>
    <w:p w14:paraId="3AECAFD4">
      <w:pPr>
        <w:widowControl/>
        <w:spacing w:line="360" w:lineRule="auto"/>
        <w:ind w:firstLine="640" w:firstLineChars="200"/>
        <w:jc w:val="left"/>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STM32F427开发板是嵌入式系统开发的电路板，包括中央处理器、存储器、输入设备、输出设备、数据通路/总线和外部资源接口等一系列硬件组件。同时提供开放接口供用户使用，方便用户进行自定义，实现其他功能。</w:t>
      </w:r>
    </w:p>
    <w:p w14:paraId="5CA4A935">
      <w:pPr>
        <w:widowControl/>
        <w:spacing w:line="360" w:lineRule="auto"/>
        <w:ind w:firstLine="480" w:firstLineChars="200"/>
        <w:jc w:val="center"/>
        <w:rPr>
          <w:rFonts w:ascii="宋体" w:hAnsi="宋体" w:eastAsia="宋体" w:cs="宋体"/>
          <w:sz w:val="24"/>
          <w:szCs w:val="24"/>
        </w:rPr>
      </w:pPr>
      <w:r>
        <w:rPr>
          <w:rFonts w:ascii="宋体" w:hAnsi="宋体" w:eastAsia="宋体" w:cs="宋体"/>
          <w:sz w:val="24"/>
          <w:szCs w:val="24"/>
        </w:rPr>
        <w:drawing>
          <wp:inline distT="0" distB="0" distL="114300" distR="114300">
            <wp:extent cx="3696970" cy="2817495"/>
            <wp:effectExtent l="0" t="0" r="6350" b="1905"/>
            <wp:docPr id="15"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descr="IMG_256"/>
                    <pic:cNvPicPr>
                      <a:picLocks noChangeAspect="1"/>
                    </pic:cNvPicPr>
                  </pic:nvPicPr>
                  <pic:blipFill>
                    <a:blip r:embed="rId19"/>
                    <a:stretch>
                      <a:fillRect/>
                    </a:stretch>
                  </pic:blipFill>
                  <pic:spPr>
                    <a:xfrm>
                      <a:off x="0" y="0"/>
                      <a:ext cx="3696970" cy="2817495"/>
                    </a:xfrm>
                    <a:prstGeom prst="rect">
                      <a:avLst/>
                    </a:prstGeom>
                    <a:noFill/>
                    <a:ln w="9525">
                      <a:noFill/>
                    </a:ln>
                  </pic:spPr>
                </pic:pic>
              </a:graphicData>
            </a:graphic>
          </wp:inline>
        </w:drawing>
      </w:r>
    </w:p>
    <w:p w14:paraId="53125966">
      <w:pPr>
        <w:widowControl/>
        <w:spacing w:line="360" w:lineRule="auto"/>
        <w:ind w:firstLine="480" w:firstLineChars="200"/>
        <w:jc w:val="center"/>
        <w:outlineLvl w:val="9"/>
        <w:rPr>
          <w:rFonts w:hint="eastAsia"/>
          <w:lang w:val="en-US" w:eastAsia="zh-CN"/>
        </w:rPr>
      </w:pPr>
      <w:r>
        <w:rPr>
          <w:rFonts w:hint="eastAsia"/>
        </w:rPr>
        <w:t>图</w:t>
      </w:r>
      <w:r>
        <w:rPr>
          <w:rFonts w:hint="eastAsia"/>
          <w:lang w:val="en-US" w:eastAsia="zh-CN"/>
        </w:rPr>
        <w:t>6-1</w:t>
      </w:r>
      <w:r>
        <w:rPr>
          <w:rFonts w:hint="eastAsia"/>
        </w:rPr>
        <w:t xml:space="preserve"> STM32F427开发板</w:t>
      </w:r>
      <w:r>
        <w:rPr>
          <w:rFonts w:hint="eastAsia"/>
          <w:lang w:val="en-US" w:eastAsia="zh-CN"/>
        </w:rPr>
        <w:t>图</w:t>
      </w:r>
    </w:p>
    <w:p w14:paraId="7CC235E0">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 xml:space="preserve">全方位球类发射训练平台是一个复杂的系统，图 </w:t>
      </w:r>
      <w:r>
        <w:rPr>
          <w:rFonts w:hint="eastAsia" w:ascii="仿宋_GB2312" w:eastAsia="仿宋_GB2312" w:cstheme="minorBidi"/>
          <w:b w:val="0"/>
          <w:kern w:val="2"/>
          <w:sz w:val="32"/>
          <w:szCs w:val="28"/>
          <w:lang w:val="en-US" w:eastAsia="zh-CN" w:bidi="ar-SA"/>
        </w:rPr>
        <w:t>6</w:t>
      </w:r>
      <w:r>
        <w:rPr>
          <w:rFonts w:hint="eastAsia" w:ascii="仿宋_GB2312" w:hAnsi="Times New Roman" w:eastAsia="仿宋_GB2312" w:cstheme="minorBidi"/>
          <w:b w:val="0"/>
          <w:kern w:val="2"/>
          <w:sz w:val="32"/>
          <w:szCs w:val="28"/>
          <w:lang w:val="en-US" w:eastAsia="zh-CN" w:bidi="ar-SA"/>
        </w:rPr>
        <w:t>-1</w:t>
      </w:r>
    </w:p>
    <w:p w14:paraId="791F1B09">
      <w:pPr>
        <w:widowControl/>
        <w:spacing w:line="360" w:lineRule="auto"/>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为其模块分析设计。</w:t>
      </w:r>
    </w:p>
    <w:p w14:paraId="6A754E35">
      <w:pPr>
        <w:widowControl/>
        <w:spacing w:line="360" w:lineRule="auto"/>
        <w:ind w:firstLine="480" w:firstLineChars="200"/>
        <w:jc w:val="left"/>
        <w:rPr>
          <w:rFonts w:hint="default" w:ascii="仿宋_GB2312" w:hAnsi="Times New Roman" w:eastAsia="仿宋_GB2312" w:cstheme="minorBidi"/>
          <w:b w:val="0"/>
          <w:kern w:val="2"/>
          <w:sz w:val="32"/>
          <w:szCs w:val="28"/>
          <w:lang w:val="en-US" w:eastAsia="zh-CN" w:bidi="ar-SA"/>
        </w:rPr>
      </w:pPr>
      <w:r>
        <w:rPr>
          <w:rFonts w:hint="eastAsia" w:ascii="宋体" w:hAnsi="宋体" w:eastAsia="宋体" w:cs="宋体"/>
          <w:sz w:val="24"/>
          <w:lang w:val="en-US" w:eastAsia="zh-CN"/>
        </w:rPr>
        <w:drawing>
          <wp:anchor distT="0" distB="0" distL="114300" distR="114300" simplePos="0" relativeHeight="251659264" behindDoc="0" locked="0" layoutInCell="1" allowOverlap="1">
            <wp:simplePos x="0" y="0"/>
            <wp:positionH relativeFrom="column">
              <wp:posOffset>67945</wp:posOffset>
            </wp:positionH>
            <wp:positionV relativeFrom="paragraph">
              <wp:posOffset>-8890</wp:posOffset>
            </wp:positionV>
            <wp:extent cx="5274310" cy="2520950"/>
            <wp:effectExtent l="0" t="0" r="13970" b="8890"/>
            <wp:wrapTopAndBottom/>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pic:cNvPicPr>
                      <a:picLocks noChangeAspect="1"/>
                    </pic:cNvPicPr>
                  </pic:nvPicPr>
                  <pic:blipFill>
                    <a:blip r:embed="rId20"/>
                    <a:stretch>
                      <a:fillRect/>
                    </a:stretch>
                  </pic:blipFill>
                  <pic:spPr>
                    <a:xfrm>
                      <a:off x="0" y="0"/>
                      <a:ext cx="5274310" cy="2520950"/>
                    </a:xfrm>
                    <a:prstGeom prst="rect">
                      <a:avLst/>
                    </a:prstGeom>
                    <a:noFill/>
                    <a:ln>
                      <a:noFill/>
                    </a:ln>
                  </pic:spPr>
                </pic:pic>
              </a:graphicData>
            </a:graphic>
          </wp:anchor>
        </w:drawing>
      </w:r>
    </w:p>
    <w:p w14:paraId="2AAABAA5">
      <w:pPr>
        <w:widowControl/>
        <w:spacing w:line="360" w:lineRule="auto"/>
        <w:ind w:firstLine="480" w:firstLineChars="200"/>
        <w:jc w:val="center"/>
        <w:outlineLvl w:val="2"/>
        <w:rPr>
          <w:rFonts w:hint="eastAsia"/>
          <w:lang w:val="en-US" w:eastAsia="zh-CN"/>
        </w:rPr>
      </w:pPr>
    </w:p>
    <w:p w14:paraId="1FAAB8A0">
      <w:pPr>
        <w:widowControl/>
        <w:spacing w:line="360" w:lineRule="auto"/>
        <w:ind w:firstLine="480" w:firstLineChars="200"/>
        <w:jc w:val="left"/>
        <w:rPr>
          <w:rFonts w:hint="eastAsia" w:ascii="宋体" w:hAnsi="宋体" w:eastAsia="宋体" w:cs="宋体"/>
          <w:sz w:val="24"/>
          <w:szCs w:val="24"/>
          <w:lang w:val="en-US" w:eastAsia="zh-CN"/>
        </w:rPr>
      </w:pPr>
    </w:p>
    <w:p w14:paraId="7B649389">
      <w:pPr>
        <w:pStyle w:val="11"/>
        <w:ind w:left="720" w:firstLine="0" w:firstLineChars="0"/>
        <w:rPr>
          <w:rFonts w:ascii="仿宋_GB2312" w:eastAsia="仿宋_GB2312"/>
          <w:sz w:val="32"/>
          <w:szCs w:val="28"/>
        </w:rPr>
      </w:pPr>
    </w:p>
    <w:p w14:paraId="6C818B43">
      <w:pPr>
        <w:pStyle w:val="11"/>
        <w:ind w:left="720" w:firstLine="0" w:firstLineChars="0"/>
        <w:rPr>
          <w:rFonts w:ascii="仿宋_GB2312" w:eastAsia="仿宋_GB2312"/>
          <w:sz w:val="32"/>
          <w:szCs w:val="28"/>
        </w:rPr>
      </w:pPr>
    </w:p>
    <w:p w14:paraId="2FB9CA49">
      <w:pPr>
        <w:pStyle w:val="11"/>
        <w:ind w:left="720" w:firstLine="0" w:firstLineChars="0"/>
        <w:rPr>
          <w:rFonts w:ascii="仿宋_GB2312" w:eastAsia="仿宋_GB2312"/>
          <w:sz w:val="32"/>
          <w:szCs w:val="28"/>
        </w:rPr>
      </w:pPr>
    </w:p>
    <w:p w14:paraId="2E4645A1">
      <w:pPr>
        <w:pStyle w:val="11"/>
        <w:numPr>
          <w:ilvl w:val="0"/>
          <w:numId w:val="1"/>
        </w:numPr>
        <w:ind w:firstLineChars="0"/>
        <w:outlineLvl w:val="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技术介绍</w:t>
      </w:r>
    </w:p>
    <w:p w14:paraId="53E43A7F">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本作品采用本项目在搜寻了很多资料后，对全方位球类发射平台和控制系统进行细致研究，得出了以下重要的结论：</w:t>
      </w:r>
    </w:p>
    <w:p w14:paraId="15B735B7">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1.通过大量的调研工作，对发球装置的发展特点和发展方向进行了总结，通过对市场需求的分析和对比国内外发球装置的发展状况，分析了发球装置的广阔市场前景和趋势。</w:t>
      </w:r>
    </w:p>
    <w:p w14:paraId="296AD57C">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2.在分析目前用的传动系统基础上，确定了本采摘的机械系统传动方案。分析各种采摘的运动方案，最终确定了最稳定、可靠且经济的方案。</w:t>
      </w:r>
    </w:p>
    <w:p w14:paraId="2103C344">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本项目对发球装置进行了详细的研究与设计，由于场地以及球的种类不同，需要对发球的结构形式作出相应改变，所以应对另外结构形式的发球装置进行深入研究与设计，以适应市场的发展与需要。</w:t>
      </w:r>
    </w:p>
    <w:p w14:paraId="717DA198">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在本项目进行整体设计与控制方案的敲定时，我们根据市场上现存的球类发射机所存在的缺陷以及短板，进行了整体的创新与设计，最大程度的减少球类发射机的缺点，提升本项目的产品创新力与竞争力，创新点主要有以下几点：</w:t>
      </w:r>
    </w:p>
    <w:p w14:paraId="1646594F">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1.市场上球类发射机一般只有云台机构，缺少机动性，因此本项目采用了底盘设计，用云台来控制底盘的运动方向，提高其机动性，而且底盘采用的悬挂设计且配有的麦克纳姆轮来保证机器人可以在复杂地形的球类场地上全方位运动，增加机器人的使用场合以及提高其功能性。</w:t>
      </w:r>
    </w:p>
    <w:p w14:paraId="4CF93A5F">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2.本项目在发射机构的云台设计上采取了图像传输、遥控控制等创新设计，与市场上球类发射机只能以固定频率固定方向进行发射相比，更加具有灵活性，而且可以通过遥控器进行控制，来对使用者进行全方位的训练，从而更加有效地提升训练强度及训练水平。</w:t>
      </w:r>
    </w:p>
    <w:p w14:paraId="6FF73B71">
      <w:pPr>
        <w:widowControl/>
        <w:spacing w:line="360" w:lineRule="auto"/>
        <w:ind w:firstLine="640" w:firstLineChars="200"/>
        <w:jc w:val="both"/>
        <w:rPr>
          <w:rFonts w:hint="eastAsia" w:ascii="仿宋_GB2312" w:hAnsi="Times New Roman" w:eastAsia="仿宋_GB2312" w:cstheme="minorBidi"/>
          <w:b w:val="0"/>
          <w:kern w:val="2"/>
          <w:sz w:val="32"/>
          <w:szCs w:val="28"/>
          <w:lang w:val="en-US" w:eastAsia="zh-CN" w:bidi="ar-SA"/>
        </w:rPr>
      </w:pPr>
      <w:r>
        <w:rPr>
          <w:rFonts w:hint="eastAsia" w:ascii="仿宋_GB2312" w:hAnsi="Times New Roman" w:eastAsia="仿宋_GB2312" w:cstheme="minorBidi"/>
          <w:b w:val="0"/>
          <w:kern w:val="2"/>
          <w:sz w:val="32"/>
          <w:szCs w:val="28"/>
          <w:lang w:val="en-US" w:eastAsia="zh-CN" w:bidi="ar-SA"/>
        </w:rPr>
        <w:t>3.本项目采用了集电滑环的设计，可以使得云台保持不动，而底盘一直进行旋转运动，采用主传动链轮，通过链条连接从动链轮通过滑盘的内环连接到云台上面，滑盘外部通过玻纤板以及杆件固定在车身来达到此目的，也是本项目创新性的关键所在。</w:t>
      </w:r>
    </w:p>
    <w:p w14:paraId="653130B2">
      <w:pPr>
        <w:pStyle w:val="11"/>
        <w:ind w:left="720" w:firstLine="0" w:firstLineChars="0"/>
        <w:rPr>
          <w:rFonts w:ascii="仿宋_GB2312" w:eastAsia="仿宋_GB2312"/>
          <w:sz w:val="32"/>
          <w:szCs w:val="28"/>
        </w:rPr>
      </w:pPr>
    </w:p>
    <w:p w14:paraId="7D88FA71">
      <w:pPr>
        <w:pStyle w:val="11"/>
        <w:numPr>
          <w:ilvl w:val="0"/>
          <w:numId w:val="0"/>
        </w:numPr>
        <w:ind w:leftChars="0"/>
        <w:rPr>
          <w:rFonts w:hint="eastAsia" w:ascii="方正黑体_GBK" w:eastAsia="方正黑体_GBK"/>
          <w:sz w:val="32"/>
          <w:szCs w:val="28"/>
          <w:lang w:val="en-US" w:eastAsia="zh-CN"/>
        </w:rPr>
      </w:pPr>
    </w:p>
    <w:p w14:paraId="3E8803DF">
      <w:pPr>
        <w:pStyle w:val="11"/>
        <w:numPr>
          <w:ilvl w:val="0"/>
          <w:numId w:val="1"/>
        </w:numPr>
        <w:ind w:firstLineChars="0"/>
        <w:outlineLvl w:val="0"/>
        <w:rPr>
          <w:rFonts w:hint="default" w:ascii="方正黑体_GBK" w:eastAsia="方正黑体_GBK"/>
          <w:sz w:val="32"/>
          <w:szCs w:val="28"/>
          <w:lang w:val="en-US" w:eastAsia="zh-CN"/>
        </w:rPr>
      </w:pPr>
      <w:r>
        <w:rPr>
          <w:rFonts w:hint="eastAsia" w:ascii="方正黑体_GBK" w:eastAsia="方正黑体_GBK"/>
          <w:sz w:val="32"/>
          <w:szCs w:val="28"/>
          <w:lang w:val="en-US" w:eastAsia="zh-CN"/>
        </w:rPr>
        <w:t>引用来源</w:t>
      </w:r>
    </w:p>
    <w:p w14:paraId="2ABC8D70">
      <w:pPr>
        <w:pStyle w:val="11"/>
        <w:numPr>
          <w:ilvl w:val="0"/>
          <w:numId w:val="0"/>
        </w:numPr>
        <w:ind w:left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国内：</w:t>
      </w:r>
    </w:p>
    <w:p w14:paraId="50E384DA">
      <w:pPr>
        <w:pStyle w:val="3"/>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24" w:lineRule="atLeast"/>
        <w:ind w:left="0" w:right="120" w:firstLine="0"/>
        <w:jc w:val="both"/>
        <w:rPr>
          <w:rFonts w:hint="eastAsia" w:ascii="仿宋_GB2312" w:hAnsi="Times New Roman" w:eastAsia="仿宋_GB2312" w:cstheme="minorBidi"/>
          <w:b w:val="0"/>
          <w:bCs w:val="0"/>
          <w:kern w:val="2"/>
          <w:sz w:val="32"/>
          <w:szCs w:val="28"/>
          <w:lang w:val="en-US" w:eastAsia="zh-CN" w:bidi="ar-SA"/>
        </w:rPr>
      </w:pP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"https://kns.cnki.net/kcms2/author/detail?v=i7m15r_oBqp0OT258KDdr_9WGqNLeGQSE-I-wTxPElLfR6-i-0mPM4_4YIfXZZxbuUYXJHtY_diCw7bvnMztbU_myVxUsld_91L63TMISt3nxB6nL6zKWw==&amp;uniplatform=NZKPT&amp;language=CHS"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刘婉</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t xml:space="preserve"> 【2025-05-12】文中首先对机电一体化技术分类进行了阐述,之后详细分析了机电一体化技术在机械设计制造中的实践应用。</w:t>
      </w:r>
    </w:p>
    <w:p w14:paraId="368F34A4">
      <w:pPr>
        <w:pStyle w:val="3"/>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24" w:lineRule="atLeast"/>
        <w:ind w:left="0" w:right="120" w:firstLine="0"/>
        <w:jc w:val="both"/>
        <w:rPr>
          <w:rFonts w:hint="eastAsia" w:ascii="仿宋_GB2312" w:hAnsi="Times New Roman" w:eastAsia="仿宋_GB2312" w:cstheme="minorBidi"/>
          <w:b w:val="0"/>
          <w:bCs w:val="0"/>
          <w:kern w:val="2"/>
          <w:sz w:val="32"/>
          <w:szCs w:val="28"/>
          <w:lang w:val="en-US" w:eastAsia="zh-CN" w:bidi="ar-SA"/>
        </w:rPr>
      </w:pP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"https://kns.cnki.net/kcms2/author/detail?v=i7m15r_oBqpxiFDxz_AKGCcbHnHpdwXNII--1_DQfCtyQ7nH-gIbEuq6_pKZTsxFiCaAUNsTTP7_QnErilN6LxLReQK5Y6HivJnlRynFUoEmYa_7HBetaCow8HAffV3P&amp;uniplatform=NZKPT&amp;language=CHS"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朱明杰</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t>【2025-05-14】指出了技术瓶颈和挑战，并对未来趋势进行展望，为机械制造企业智能化转型提供参考。</w:t>
      </w:r>
    </w:p>
    <w:p w14:paraId="484F6CE9">
      <w:pPr>
        <w:pStyle w:val="3"/>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24" w:lineRule="atLeast"/>
        <w:ind w:left="0" w:right="120" w:firstLine="0"/>
        <w:jc w:val="both"/>
        <w:rPr>
          <w:rFonts w:hint="default" w:ascii="仿宋_GB2312" w:hAnsi="Times New Roman" w:eastAsia="仿宋_GB2312" w:cstheme="minorBidi"/>
          <w:b w:val="0"/>
          <w:bCs w:val="0"/>
          <w:kern w:val="2"/>
          <w:sz w:val="32"/>
          <w:szCs w:val="28"/>
          <w:lang w:val="en-US" w:eastAsia="zh-CN" w:bidi="ar-SA"/>
        </w:rPr>
      </w:pP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"https://kns.cnki.net/kcms2/author/detail?v=i7m15r_oBqqPsGYwKWX4I8zgrSHZlv6-eIo5cKVyNsUairYdqNOrhXI5ov8xeXwdPCUXlB2-iwdXALIZsoZAtjLa-vhwgHLjfY55KSitmT5Pl5CC2zo-RoB1QcnCYzxM&amp;uniplatform=NZKPT&amp;language=CHS"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宋卓钰</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t>【2025-04-14】深入分析了电气自动化技术在机械工程中的实际应用，为机械工程的电气自动化技术的恰当应用提供借鉴和帮助。</w:t>
      </w:r>
    </w:p>
    <w:p w14:paraId="724C2D4F">
      <w:pPr>
        <w:pStyle w:val="11"/>
        <w:numPr>
          <w:ilvl w:val="0"/>
          <w:numId w:val="0"/>
        </w:numPr>
        <w:ind w:leftChars="0"/>
        <w:rPr>
          <w:rFonts w:hint="eastAsia" w:ascii="方正黑体_GBK" w:hAnsi="Times New Roman" w:eastAsia="方正黑体_GBK"/>
          <w:sz w:val="32"/>
          <w:szCs w:val="28"/>
          <w:lang w:val="en-US" w:eastAsia="zh-CN"/>
        </w:rPr>
      </w:pPr>
      <w:r>
        <w:rPr>
          <w:rFonts w:hint="eastAsia" w:ascii="方正黑体_GBK" w:hAnsi="Times New Roman" w:eastAsia="方正黑体_GBK"/>
          <w:sz w:val="32"/>
          <w:szCs w:val="28"/>
          <w:lang w:val="en-US" w:eastAsia="zh-CN"/>
        </w:rPr>
        <w:t>国外：</w:t>
      </w:r>
    </w:p>
    <w:p w14:paraId="2BB03FBB">
      <w:pPr>
        <w:pStyle w:val="3"/>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24" w:lineRule="atLeast"/>
        <w:ind w:left="0" w:leftChars="0" w:right="120" w:rightChars="0"/>
        <w:jc w:val="both"/>
        <w:outlineLvl w:val="2"/>
        <w:rPr>
          <w:rFonts w:ascii="微软雅黑" w:hAnsi="微软雅黑" w:eastAsia="微软雅黑" w:cs="微软雅黑"/>
          <w:b w:val="0"/>
          <w:bCs w:val="0"/>
          <w:i w:val="0"/>
          <w:iCs w:val="0"/>
          <w:caps w:val="0"/>
          <w:color w:val="666666"/>
          <w:spacing w:val="0"/>
          <w:sz w:val="16"/>
          <w:szCs w:val="16"/>
        </w:rPr>
      </w:pPr>
      <w:r>
        <w:rPr>
          <w:rFonts w:hint="eastAsia" w:ascii="仿宋_GB2312" w:hAnsi="Times New Roman" w:eastAsia="仿宋_GB2312" w:cstheme="minorBidi"/>
          <w:b w:val="0"/>
          <w:bCs w:val="0"/>
          <w:kern w:val="2"/>
          <w:sz w:val="32"/>
          <w:szCs w:val="28"/>
          <w:lang w:val="en-US" w:eastAsia="zh-CN" w:bidi="ar-SA"/>
        </w:rPr>
        <w:t>1. </w:t>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"https://scholar.cnki.net/home/search?sw=6&amp;sw-input=%E5%BE%90%E4%BF%8A%E8%8D%A3"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徐俊荣</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t xml:space="preserve"> 外国期刊【2025-04-14】本文在工程教育专业认证的背景下，针对“机械制造技术课程设计”的教学改革进行深入探讨，通过分析当前教学中的不足，结合工程教育专业认证的要求，提出以学生为中心、以能力培养为核心的教学体系改革方案。通过构建以项目为载体的教学模式、持续改进机制及科学合理的评价机制，旨在增强学生的工程实践能力、创新能力和解决问题的能力。研究表明，改革后的课程设计能有效提升教学质量，为学生未来的职业发展奠定坚实基础。</w:t>
      </w:r>
    </w:p>
    <w:p w14:paraId="0FA6279B">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00" w:lineRule="atLeast"/>
        <w:ind w:left="0" w:right="0" w:firstLine="0"/>
        <w:jc w:val="left"/>
        <w:rPr>
          <w:rFonts w:hint="eastAsia" w:ascii="仿宋_GB2312" w:hAnsi="Times New Roman" w:eastAsia="仿宋_GB2312" w:cstheme="minorBidi"/>
          <w:b w:val="0"/>
          <w:bCs w:val="0"/>
          <w:kern w:val="2"/>
          <w:sz w:val="32"/>
          <w:szCs w:val="28"/>
          <w:lang w:val="en-US" w:eastAsia="zh-CN" w:bidi="ar-SA"/>
        </w:rPr>
      </w:pPr>
      <w:r>
        <w:rPr>
          <w:rFonts w:hint="eastAsia" w:ascii="仿宋_GB2312" w:hAnsi="Times New Roman" w:eastAsia="仿宋_GB2312" w:cstheme="minorBidi"/>
          <w:b w:val="0"/>
          <w:bCs w:val="0"/>
          <w:kern w:val="2"/>
          <w:sz w:val="32"/>
          <w:szCs w:val="28"/>
          <w:lang w:val="en-US" w:eastAsia="zh-CN" w:bidi="ar-SA"/>
        </w:rPr>
        <w:t> 2.</w:t>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"https://scholar.cnki.net/home/search?sw=6&amp;sw-input=Gibin George"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Gibin George; </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"https://scholar.cnki.net/home/search?sw=6&amp;sw-input=Raghav G R"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Raghav G R; </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"https://scholar.cnki.net/home/search?sw=6&amp;sw-input=Jeetu S. Babu"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Jeetu S. Babu</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t xml:space="preserve"> 【2025】Nanotechnology for Mechanical Engineers （翻译：面向机械工程师的纳米技术）</w:t>
      </w:r>
    </w:p>
    <w:p w14:paraId="73A817DB">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24" w:lineRule="atLeast"/>
        <w:ind w:left="0" w:right="120" w:firstLine="0"/>
        <w:jc w:val="left"/>
        <w:rPr>
          <w:rFonts w:hint="eastAsia" w:ascii="仿宋_GB2312" w:hAnsi="Times New Roman" w:eastAsia="仿宋_GB2312" w:cstheme="minorBidi"/>
          <w:b w:val="0"/>
          <w:bCs w:val="0"/>
          <w:kern w:val="2"/>
          <w:sz w:val="32"/>
          <w:szCs w:val="28"/>
          <w:lang w:val="en-US" w:eastAsia="zh-CN" w:bidi="ar-SA"/>
        </w:rPr>
      </w:pPr>
      <w:r>
        <w:rPr>
          <w:rFonts w:hint="eastAsia" w:ascii="仿宋_GB2312" w:hAnsi="Times New Roman" w:eastAsia="仿宋_GB2312" w:cstheme="minorBidi"/>
          <w:b w:val="0"/>
          <w:bCs w:val="0"/>
          <w:kern w:val="2"/>
          <w:sz w:val="32"/>
          <w:szCs w:val="28"/>
          <w:lang w:val="en-US" w:eastAsia="zh-CN" w:bidi="ar-SA"/>
        </w:rPr>
        <w:t>3.作者： </w:t>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"https://scholar.cnki.net/home/search?sw=6&amp;sw-input=Hao Ding"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Hao Ding; </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 Liang Zhang"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Liang Zhang; </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 Xiukun Hu"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Xiukun Hu; </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 Tao Song"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Tao Song; </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fldChar w:fldCharType="begin"/>
      </w:r>
      <w:r>
        <w:rPr>
          <w:rFonts w:hint="eastAsia" w:ascii="仿宋_GB2312" w:hAnsi="Times New Roman" w:eastAsia="仿宋_GB2312" w:cstheme="minorBidi"/>
          <w:b w:val="0"/>
          <w:bCs w:val="0"/>
          <w:kern w:val="2"/>
          <w:sz w:val="32"/>
          <w:szCs w:val="28"/>
          <w:lang w:val="en-US" w:eastAsia="zh-CN" w:bidi="ar-SA"/>
        </w:rPr>
        <w:instrText xml:space="preserve"> HYPERLINK "https://scholar.cnki.net/home/search?sw=6&amp;sw-input= Chen Cao" \t "https://kns.cnki.net/kcms2/article/_blank" </w:instrText>
      </w:r>
      <w:r>
        <w:rPr>
          <w:rFonts w:hint="eastAsia" w:ascii="仿宋_GB2312" w:hAnsi="Times New Roman" w:eastAsia="仿宋_GB2312" w:cstheme="minorBidi"/>
          <w:b w:val="0"/>
          <w:bCs w:val="0"/>
          <w:kern w:val="2"/>
          <w:sz w:val="32"/>
          <w:szCs w:val="28"/>
          <w:lang w:val="en-US" w:eastAsia="zh-CN" w:bidi="ar-SA"/>
        </w:rPr>
        <w:fldChar w:fldCharType="separate"/>
      </w:r>
      <w:r>
        <w:rPr>
          <w:rFonts w:hint="eastAsia" w:ascii="仿宋_GB2312" w:hAnsi="Times New Roman" w:eastAsia="仿宋_GB2312" w:cstheme="minorBidi"/>
          <w:b w:val="0"/>
          <w:bCs w:val="0"/>
          <w:kern w:val="2"/>
          <w:sz w:val="32"/>
          <w:szCs w:val="28"/>
          <w:lang w:val="en-US" w:eastAsia="zh-CN" w:bidi="ar-SA"/>
        </w:rPr>
        <w:t>Chen Cao</w:t>
      </w:r>
      <w:r>
        <w:rPr>
          <w:rFonts w:hint="eastAsia" w:ascii="仿宋_GB2312" w:hAnsi="Times New Roman" w:eastAsia="仿宋_GB2312" w:cstheme="minorBidi"/>
          <w:b w:val="0"/>
          <w:bCs w:val="0"/>
          <w:kern w:val="2"/>
          <w:sz w:val="32"/>
          <w:szCs w:val="28"/>
          <w:lang w:val="en-US" w:eastAsia="zh-CN" w:bidi="ar-SA"/>
        </w:rPr>
        <w:fldChar w:fldCharType="end"/>
      </w:r>
      <w:r>
        <w:rPr>
          <w:rFonts w:hint="eastAsia" w:ascii="仿宋_GB2312" w:hAnsi="Times New Roman" w:eastAsia="仿宋_GB2312" w:cstheme="minorBidi"/>
          <w:b w:val="0"/>
          <w:bCs w:val="0"/>
          <w:kern w:val="2"/>
          <w:sz w:val="32"/>
          <w:szCs w:val="28"/>
          <w:lang w:val="en-US" w:eastAsia="zh-CN" w:bidi="ar-SA"/>
        </w:rPr>
        <w:t xml:space="preserve">  【2025】Exploration and Practice of Teaching Reform for Mechanical Engineering Testing Technology in Application Oriented University （翻译：应用型本科机械工程测试技术教学改革的探索与实践）</w:t>
      </w:r>
    </w:p>
    <w:p w14:paraId="06E9DAF2">
      <w:pPr>
        <w:pStyle w:val="11"/>
        <w:ind w:firstLine="640"/>
        <w:rPr>
          <w:rFonts w:hint="eastAsia" w:ascii="方正黑体_GBK" w:eastAsia="方正黑体_GBK"/>
          <w:sz w:val="32"/>
          <w:szCs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黑体_GBK">
    <w:altName w:val="微软雅黑"/>
    <w:panose1 w:val="03000509000000000000"/>
    <w:charset w:val="86"/>
    <w:family w:val="script"/>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方正仿宋简体">
    <w:altName w:val="微软雅黑"/>
    <w:panose1 w:val="00000000000000000000"/>
    <w:charset w:val="86"/>
    <w:family w:val="roman"/>
    <w:pitch w:val="default"/>
    <w:sig w:usb0="00000000" w:usb1="00000000" w:usb2="0000001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仿宋_GB2312">
    <w:panose1 w:val="02000000000000000000"/>
    <w:charset w:val="86"/>
    <w:family w:val="auto"/>
    <w:pitch w:val="default"/>
    <w:sig w:usb0="A00002BF" w:usb1="184F6CFA" w:usb2="00000012"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1176141"/>
    <w:multiLevelType w:val="singleLevel"/>
    <w:tmpl w:val="D1176141"/>
    <w:lvl w:ilvl="0" w:tentative="0">
      <w:start w:val="1"/>
      <w:numFmt w:val="decimal"/>
      <w:lvlText w:val="%1."/>
      <w:lvlJc w:val="left"/>
      <w:pPr>
        <w:tabs>
          <w:tab w:val="left" w:pos="312"/>
        </w:tabs>
      </w:pPr>
    </w:lvl>
  </w:abstractNum>
  <w:abstractNum w:abstractNumId="1">
    <w:nsid w:val="544101FA"/>
    <w:multiLevelType w:val="multilevel"/>
    <w:tmpl w:val="544101FA"/>
    <w:lvl w:ilvl="0" w:tentative="0">
      <w:start w:val="1"/>
      <w:numFmt w:val="japaneseCounting"/>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IwZjUxOTNiZTM0ZDk4NmU5NTU2NzhlMzQwNzk4NjEifQ=="/>
  </w:docVars>
  <w:rsids>
    <w:rsidRoot w:val="007A2C9C"/>
    <w:rsid w:val="00006ED4"/>
    <w:rsid w:val="001444E9"/>
    <w:rsid w:val="004616D5"/>
    <w:rsid w:val="00673152"/>
    <w:rsid w:val="007A2C9C"/>
    <w:rsid w:val="00AC0BAD"/>
    <w:rsid w:val="00FB39A5"/>
    <w:rsid w:val="061D40AE"/>
    <w:rsid w:val="2CB27541"/>
    <w:rsid w:val="307D6687"/>
    <w:rsid w:val="3B9734D2"/>
    <w:rsid w:val="4E31153B"/>
    <w:rsid w:val="517D36E3"/>
    <w:rsid w:val="5EE7567F"/>
    <w:rsid w:val="61C964F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heme="minorBidi"/>
      <w:kern w:val="2"/>
      <w:sz w:val="24"/>
      <w:szCs w:val="22"/>
      <w:lang w:val="en-US" w:eastAsia="zh-CN" w:bidi="ar-SA"/>
    </w:rPr>
  </w:style>
  <w:style w:type="paragraph" w:styleId="2">
    <w:name w:val="heading 2"/>
    <w:basedOn w:val="1"/>
    <w:next w:val="1"/>
    <w:unhideWhenUsed/>
    <w:qFormat/>
    <w:uiPriority w:val="0"/>
    <w:pPr>
      <w:keepNext/>
      <w:keepLines/>
      <w:spacing w:before="260" w:after="260" w:line="240" w:lineRule="atLeast"/>
      <w:ind w:firstLine="880" w:firstLineChars="200"/>
      <w:jc w:val="left"/>
      <w:outlineLvl w:val="1"/>
    </w:pPr>
    <w:rPr>
      <w:rFonts w:ascii="Arial" w:hAnsi="Arial" w:eastAsia="宋体"/>
      <w:b/>
      <w:sz w:val="24"/>
    </w:rPr>
  </w:style>
  <w:style w:type="paragraph" w:styleId="3">
    <w:name w:val="heading 3"/>
    <w:basedOn w:val="1"/>
    <w:next w:val="1"/>
    <w:unhideWhenUsed/>
    <w:qFormat/>
    <w:uiPriority w:val="0"/>
    <w:pPr>
      <w:keepNext/>
      <w:keepLines/>
      <w:spacing w:before="260" w:after="260" w:line="0" w:lineRule="atLeast"/>
      <w:jc w:val="center"/>
      <w:outlineLvl w:val="2"/>
    </w:pPr>
    <w:rPr>
      <w:rFonts w:eastAsia="宋体"/>
    </w:rPr>
  </w:style>
  <w:style w:type="character" w:default="1" w:styleId="8">
    <w:name w:val="Default Paragraph Font"/>
    <w:autoRedefine/>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眉 字符"/>
    <w:basedOn w:val="8"/>
    <w:link w:val="5"/>
    <w:qFormat/>
    <w:uiPriority w:val="99"/>
    <w:rPr>
      <w:rFonts w:ascii="Times New Roman" w:hAnsi="Times New Roman" w:eastAsia="宋体"/>
      <w:sz w:val="18"/>
      <w:szCs w:val="18"/>
    </w:rPr>
  </w:style>
  <w:style w:type="character" w:customStyle="1" w:styleId="10">
    <w:name w:val="页脚 字符"/>
    <w:basedOn w:val="8"/>
    <w:link w:val="4"/>
    <w:qFormat/>
    <w:uiPriority w:val="99"/>
    <w:rPr>
      <w:rFonts w:ascii="Times New Roman" w:hAnsi="Times New Roman" w:eastAsia="宋体"/>
      <w:sz w:val="18"/>
      <w:szCs w:val="18"/>
    </w:rPr>
  </w:style>
  <w:style w:type="paragraph" w:styleId="11">
    <w:name w:val="List Paragraph"/>
    <w:basedOn w:val="1"/>
    <w:autoRedefine/>
    <w:qFormat/>
    <w:uiPriority w:val="34"/>
    <w:pPr>
      <w:ind w:firstLine="420" w:firstLineChars="200"/>
    </w:pPr>
  </w:style>
  <w:style w:type="character" w:customStyle="1" w:styleId="12">
    <w:name w:val="font11"/>
    <w:basedOn w:val="8"/>
    <w:qFormat/>
    <w:uiPriority w:val="0"/>
    <w:rPr>
      <w:rFonts w:ascii="宋体" w:hAnsi="宋体" w:eastAsia="宋体" w:cs="宋体"/>
      <w:b/>
      <w:bCs/>
      <w:color w:val="FFFFFF"/>
      <w:sz w:val="18"/>
      <w:szCs w:val="18"/>
      <w:u w:val="none"/>
    </w:rPr>
  </w:style>
  <w:style w:type="character" w:customStyle="1" w:styleId="13">
    <w:name w:val="font21"/>
    <w:basedOn w:val="8"/>
    <w:qFormat/>
    <w:uiPriority w:val="0"/>
    <w:rPr>
      <w:rFonts w:ascii="宋体" w:hAnsi="宋体" w:eastAsia="宋体" w:cs="宋体"/>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24</Pages>
  <Words>6961</Words>
  <Characters>7701</Characters>
  <Lines>2</Lines>
  <Paragraphs>1</Paragraphs>
  <TotalTime>7</TotalTime>
  <ScaleCrop>false</ScaleCrop>
  <LinksUpToDate>false</LinksUpToDate>
  <CharactersWithSpaces>7768</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2023-05-29T07:49:00Z</dcterms:created>
  <dc:creator>jx-AMD</dc:creator>
  <cp:lastModifiedBy>Z1</cp:lastModifiedBy>
  <dcterms:modified xsi:type="dcterms:W3CDTF">2025-07-03T15:58:04Z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1A828DCC835F4207AEC5344C56D4DB8C_13</vt:lpwstr>
  </property>
  <property fmtid="{D5CDD505-2E9C-101B-9397-08002B2CF9AE}" pid="4" name="KSOTemplateDocerSaveRecord">
    <vt:lpwstr>eyJoZGlkIjoiNjllMDRiMDgzYTJlODhlNmQzZTA3YzA3M2ViZDdhMWMiLCJ1c2VySWQiOiIxNDY4MzYzNDEwIn0=</vt:lpwstr>
  </property>
</Properties>
</file>