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025528">
      <w:pPr>
        <w:jc w:val="center"/>
        <w:rPr>
          <w:rFonts w:hint="eastAsia" w:ascii="方正黑体_GBK" w:eastAsia="方正黑体_GBK"/>
          <w:sz w:val="56"/>
          <w:szCs w:val="52"/>
        </w:rPr>
      </w:pPr>
      <w:r>
        <w:rPr>
          <w:rFonts w:hint="eastAsia" w:ascii="方正黑体_GBK" w:eastAsia="方正黑体_GBK"/>
          <w:sz w:val="56"/>
          <w:szCs w:val="52"/>
        </w:rPr>
        <w:t>安徽省百所高校百万大学生科普</w:t>
      </w:r>
    </w:p>
    <w:p w14:paraId="08AB0A9B">
      <w:pPr>
        <w:jc w:val="center"/>
        <w:rPr>
          <w:rFonts w:hint="eastAsia" w:ascii="方正黑体_GBK" w:eastAsia="方正黑体_GBK"/>
          <w:sz w:val="56"/>
          <w:szCs w:val="52"/>
        </w:rPr>
      </w:pPr>
      <w:r>
        <w:rPr>
          <w:rFonts w:hint="eastAsia" w:ascii="方正黑体_GBK" w:eastAsia="方正黑体_GBK"/>
          <w:sz w:val="56"/>
          <w:szCs w:val="52"/>
        </w:rPr>
        <w:t>创</w:t>
      </w:r>
    </w:p>
    <w:p w14:paraId="54F7B9BB">
      <w:pPr>
        <w:jc w:val="center"/>
        <w:rPr>
          <w:rFonts w:hint="eastAsia" w:ascii="方正黑体_GBK" w:eastAsia="方正黑体_GBK"/>
          <w:sz w:val="56"/>
          <w:szCs w:val="52"/>
        </w:rPr>
      </w:pPr>
      <w:r>
        <w:rPr>
          <w:rFonts w:hint="eastAsia" w:ascii="方正黑体_GBK" w:eastAsia="方正黑体_GBK"/>
          <w:sz w:val="56"/>
          <w:szCs w:val="52"/>
        </w:rPr>
        <w:t>意</w:t>
      </w:r>
    </w:p>
    <w:p w14:paraId="48C926BA">
      <w:pPr>
        <w:jc w:val="center"/>
        <w:rPr>
          <w:rFonts w:hint="eastAsia" w:ascii="方正黑体_GBK" w:eastAsia="方正黑体_GBK"/>
          <w:sz w:val="56"/>
          <w:szCs w:val="52"/>
        </w:rPr>
      </w:pPr>
      <w:r>
        <w:rPr>
          <w:rFonts w:hint="eastAsia" w:ascii="方正黑体_GBK" w:eastAsia="方正黑体_GBK"/>
          <w:sz w:val="56"/>
          <w:szCs w:val="52"/>
        </w:rPr>
        <w:t>创</w:t>
      </w:r>
    </w:p>
    <w:p w14:paraId="31DEC055">
      <w:pPr>
        <w:jc w:val="center"/>
        <w:rPr>
          <w:rFonts w:hint="eastAsia" w:ascii="方正黑体_GBK" w:eastAsia="方正黑体_GBK"/>
          <w:sz w:val="56"/>
          <w:szCs w:val="52"/>
        </w:rPr>
      </w:pPr>
      <w:r>
        <w:rPr>
          <w:rFonts w:hint="eastAsia" w:ascii="方正黑体_GBK" w:eastAsia="方正黑体_GBK"/>
          <w:sz w:val="56"/>
          <w:szCs w:val="52"/>
        </w:rPr>
        <w:t>新</w:t>
      </w:r>
    </w:p>
    <w:p w14:paraId="18546EBE">
      <w:pPr>
        <w:jc w:val="center"/>
        <w:rPr>
          <w:rFonts w:hint="eastAsia" w:ascii="方正黑体_GBK" w:eastAsia="方正黑体_GBK"/>
          <w:sz w:val="56"/>
          <w:szCs w:val="52"/>
        </w:rPr>
      </w:pPr>
      <w:r>
        <w:rPr>
          <w:rFonts w:hint="eastAsia" w:ascii="方正黑体_GBK" w:eastAsia="方正黑体_GBK"/>
          <w:sz w:val="56"/>
          <w:szCs w:val="52"/>
        </w:rPr>
        <w:t>大</w:t>
      </w:r>
    </w:p>
    <w:p w14:paraId="7E9F2041">
      <w:pPr>
        <w:jc w:val="center"/>
        <w:rPr>
          <w:rFonts w:hint="eastAsia" w:ascii="方正黑体_GBK" w:eastAsia="方正黑体_GBK"/>
          <w:sz w:val="56"/>
          <w:szCs w:val="52"/>
        </w:rPr>
      </w:pPr>
      <w:r>
        <w:rPr>
          <w:rFonts w:hint="eastAsia" w:ascii="方正黑体_GBK" w:eastAsia="方正黑体_GBK"/>
          <w:sz w:val="56"/>
          <w:szCs w:val="52"/>
        </w:rPr>
        <w:t>赛</w:t>
      </w:r>
    </w:p>
    <w:p w14:paraId="4A721301">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申</w:t>
      </w:r>
    </w:p>
    <w:p w14:paraId="34E6D79A">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报</w:t>
      </w:r>
    </w:p>
    <w:p w14:paraId="003F0E17">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书</w:t>
      </w:r>
    </w:p>
    <w:p w14:paraId="59228657"/>
    <w:p w14:paraId="6A955E05">
      <w:pPr>
        <w:rPr>
          <w:rFonts w:hint="eastAsia" w:ascii="方正黑体_GBK" w:eastAsia="方正黑体_GBK"/>
          <w:sz w:val="32"/>
          <w:szCs w:val="28"/>
          <w:lang w:eastAsia="zh-CN"/>
        </w:rPr>
      </w:pPr>
      <w:r>
        <w:rPr>
          <w:rFonts w:hint="eastAsia" w:ascii="方正黑体_GBK" w:eastAsia="方正黑体_GBK"/>
          <w:sz w:val="32"/>
          <w:szCs w:val="28"/>
        </w:rPr>
        <w:t>作品名称</w:t>
      </w:r>
      <w:r>
        <w:rPr>
          <w:rFonts w:hint="eastAsia" w:ascii="方正黑体_GBK" w:eastAsia="方正黑体_GBK"/>
          <w:sz w:val="32"/>
          <w:szCs w:val="28"/>
          <w:lang w:eastAsia="zh-CN"/>
        </w:rPr>
        <w:t>：（</w:t>
      </w:r>
      <w:r>
        <w:rPr>
          <w:rFonts w:hint="eastAsia" w:ascii="方正黑体_GBK" w:eastAsia="方正黑体_GBK"/>
          <w:sz w:val="32"/>
          <w:szCs w:val="28"/>
          <w:u w:val="none"/>
          <w:lang w:val="en-US" w:eastAsia="zh-CN"/>
        </w:rPr>
        <w:t>基于FFT-GPS双车寻声越野</w:t>
      </w:r>
      <w:r>
        <w:rPr>
          <w:rFonts w:hint="eastAsia" w:ascii="方正黑体_GBK" w:eastAsia="方正黑体_GBK"/>
          <w:sz w:val="32"/>
          <w:szCs w:val="28"/>
          <w:lang w:eastAsia="zh-CN"/>
        </w:rPr>
        <w:t>）</w:t>
      </w:r>
    </w:p>
    <w:p w14:paraId="3A63A6EC">
      <w:pPr>
        <w:rPr>
          <w:rFonts w:hint="eastAsia" w:ascii="方正黑体_GBK" w:eastAsia="方正黑体_GBK"/>
          <w:sz w:val="32"/>
          <w:szCs w:val="28"/>
          <w:lang w:eastAsia="zh-CN"/>
        </w:rPr>
      </w:pPr>
      <w:r>
        <w:rPr>
          <w:rFonts w:hint="eastAsia" w:ascii="方正黑体_GBK" w:eastAsia="方正黑体_GBK"/>
          <w:sz w:val="32"/>
          <w:szCs w:val="28"/>
        </w:rPr>
        <w:t>参赛</w:t>
      </w:r>
      <w:r>
        <w:rPr>
          <w:rFonts w:hint="eastAsia" w:ascii="方正黑体_GBK" w:eastAsia="方正黑体_GBK"/>
          <w:sz w:val="32"/>
          <w:szCs w:val="28"/>
          <w:lang w:val="en-US" w:eastAsia="zh-CN"/>
        </w:rPr>
        <w:t>大</w:t>
      </w:r>
      <w:r>
        <w:rPr>
          <w:rFonts w:hint="eastAsia" w:ascii="方正黑体_GBK" w:eastAsia="方正黑体_GBK"/>
          <w:sz w:val="32"/>
          <w:szCs w:val="28"/>
        </w:rPr>
        <w:t>分类：</w:t>
      </w:r>
      <w:r>
        <w:rPr>
          <w:rFonts w:hint="eastAsia" w:ascii="方正黑体_GBK" w:eastAsia="方正黑体_GBK"/>
          <w:sz w:val="32"/>
          <w:szCs w:val="28"/>
          <w:lang w:eastAsia="zh-CN"/>
        </w:rPr>
        <w:t>（</w:t>
      </w:r>
      <w:r>
        <w:rPr>
          <w:rFonts w:hint="eastAsia" w:ascii="方正黑体_GBK" w:eastAsia="方正黑体_GBK"/>
          <w:sz w:val="32"/>
          <w:szCs w:val="28"/>
          <w:u w:val="none"/>
          <w:lang w:val="en-US" w:eastAsia="zh-CN"/>
        </w:rPr>
        <w:t>实体科普作品</w:t>
      </w:r>
      <w:r>
        <w:rPr>
          <w:rFonts w:hint="eastAsia" w:ascii="方正黑体_GBK" w:eastAsia="方正黑体_GBK"/>
          <w:sz w:val="32"/>
          <w:szCs w:val="28"/>
          <w:lang w:eastAsia="zh-CN"/>
        </w:rPr>
        <w:t>）</w:t>
      </w:r>
    </w:p>
    <w:p w14:paraId="52FF28F2">
      <w:pPr>
        <w:rPr>
          <w:rFonts w:hint="eastAsia" w:ascii="方正黑体_GBK" w:eastAsia="方正黑体_GBK"/>
          <w:sz w:val="32"/>
          <w:szCs w:val="28"/>
          <w:lang w:eastAsia="zh-CN"/>
        </w:rPr>
      </w:pPr>
      <w:r>
        <w:rPr>
          <w:rFonts w:hint="eastAsia" w:ascii="方正黑体_GBK" w:eastAsia="方正黑体_GBK"/>
          <w:sz w:val="32"/>
          <w:szCs w:val="28"/>
        </w:rPr>
        <w:t>参赛子分类：</w:t>
      </w:r>
      <w:r>
        <w:rPr>
          <w:rFonts w:hint="eastAsia" w:ascii="方正黑体_GBK" w:eastAsia="方正黑体_GBK"/>
          <w:sz w:val="32"/>
          <w:szCs w:val="28"/>
          <w:lang w:eastAsia="zh-CN"/>
        </w:rPr>
        <w:t>（</w:t>
      </w:r>
      <w:r>
        <w:rPr>
          <w:rFonts w:hint="eastAsia" w:ascii="方正黑体_GBK" w:eastAsia="方正黑体_GBK"/>
          <w:sz w:val="32"/>
          <w:szCs w:val="28"/>
          <w:u w:val="none"/>
          <w:lang w:val="en-US" w:eastAsia="zh-CN"/>
        </w:rPr>
        <w:t>科普展教品</w:t>
      </w:r>
      <w:r>
        <w:rPr>
          <w:rFonts w:hint="eastAsia" w:ascii="方正黑体_GBK" w:eastAsia="方正黑体_GBK"/>
          <w:sz w:val="32"/>
          <w:szCs w:val="28"/>
          <w:lang w:eastAsia="zh-CN"/>
        </w:rPr>
        <w:t>）</w:t>
      </w:r>
    </w:p>
    <w:p w14:paraId="4ED755AA">
      <w:pPr>
        <w:widowControl/>
        <w:jc w:val="left"/>
      </w:pPr>
      <w:r>
        <w:br w:type="page"/>
      </w:r>
    </w:p>
    <w:p w14:paraId="0AE2BD9A">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作品简介</w:t>
      </w:r>
    </w:p>
    <w:p w14:paraId="08FCE17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仿宋_GB2312" w:eastAsia="仿宋_GB2312"/>
          <w:sz w:val="32"/>
          <w:szCs w:val="28"/>
          <w:lang w:eastAsia="zh-CN"/>
        </w:rPr>
      </w:pPr>
      <w:r>
        <w:rPr>
          <w:rFonts w:hint="eastAsia" w:ascii="宋体" w:hAnsi="宋体" w:cs="宋体"/>
          <w:kern w:val="2"/>
          <w:sz w:val="24"/>
          <w:szCs w:val="24"/>
          <w:lang w:val="en-US" w:eastAsia="zh-CN" w:bidi="ar"/>
        </w:rPr>
        <w:t>本</w:t>
      </w:r>
      <w:r>
        <w:rPr>
          <w:rFonts w:hint="eastAsia" w:ascii="宋体" w:hAnsi="宋体" w:eastAsia="宋体" w:cs="宋体"/>
          <w:kern w:val="2"/>
          <w:sz w:val="24"/>
          <w:szCs w:val="24"/>
          <w:lang w:val="en-US" w:eastAsia="zh-CN" w:bidi="ar"/>
        </w:rPr>
        <w:t>作品是一款基于</w:t>
      </w:r>
      <w:r>
        <w:rPr>
          <w:rFonts w:hint="eastAsia" w:ascii="Times New Roman" w:hAnsi="Times New Roman" w:eastAsia="宋体" w:cs="Times New Roman"/>
          <w:kern w:val="2"/>
          <w:sz w:val="24"/>
          <w:szCs w:val="24"/>
          <w:lang w:val="en-US" w:eastAsia="zh-CN" w:bidi="ar"/>
        </w:rPr>
        <w:t>FFT-GPS</w:t>
      </w:r>
      <w:r>
        <w:rPr>
          <w:rFonts w:hint="eastAsia" w:ascii="宋体" w:hAnsi="宋体" w:eastAsia="宋体" w:cs="宋体"/>
          <w:kern w:val="2"/>
          <w:sz w:val="24"/>
          <w:szCs w:val="24"/>
          <w:lang w:val="en-US" w:eastAsia="zh-CN" w:bidi="ar"/>
        </w:rPr>
        <w:t>寻声技术的越野车，它在</w:t>
      </w:r>
      <w:r>
        <w:rPr>
          <w:rFonts w:hint="eastAsia" w:ascii="Times New Roman" w:hAnsi="Times New Roman" w:eastAsia="宋体" w:cs="Times New Roman"/>
          <w:kern w:val="2"/>
          <w:sz w:val="24"/>
          <w:szCs w:val="24"/>
          <w:lang w:val="en-US" w:eastAsia="zh-CN" w:bidi="ar"/>
        </w:rPr>
        <w:t>GPS</w:t>
      </w:r>
      <w:r>
        <w:rPr>
          <w:rFonts w:hint="eastAsia" w:ascii="宋体" w:hAnsi="宋体" w:eastAsia="宋体" w:cs="宋体"/>
          <w:kern w:val="2"/>
          <w:sz w:val="24"/>
          <w:szCs w:val="24"/>
          <w:lang w:val="en-US" w:eastAsia="zh-CN" w:bidi="ar"/>
        </w:rPr>
        <w:t>定位的基础上，额外配备了寻声系统。该越野车以</w:t>
      </w:r>
      <w:r>
        <w:rPr>
          <w:rFonts w:hint="eastAsia" w:ascii="Times New Roman" w:hAnsi="Times New Roman" w:eastAsia="宋体" w:cs="Times New Roman"/>
          <w:kern w:val="2"/>
          <w:sz w:val="24"/>
          <w:szCs w:val="24"/>
          <w:lang w:val="en-US" w:eastAsia="zh-CN" w:bidi="ar"/>
        </w:rPr>
        <w:t>CYT4B</w:t>
      </w:r>
      <w:r>
        <w:rPr>
          <w:rFonts w:hint="eastAsia" w:ascii="宋体" w:hAnsi="宋体" w:eastAsia="宋体" w:cs="宋体"/>
          <w:kern w:val="2"/>
          <w:sz w:val="24"/>
          <w:szCs w:val="24"/>
          <w:lang w:val="en-US" w:eastAsia="zh-CN" w:bidi="ar"/>
        </w:rPr>
        <w:t>B7芯片作为主控单元，采用无刷电机驱动，能够在短时间内迅速提升速度。车顶配备了一个交叉布局的硅麦，用于在信标模式下进行声音定位。而在最顶部，</w:t>
      </w:r>
      <w:r>
        <w:rPr>
          <w:rFonts w:hint="eastAsia" w:ascii="Times New Roman" w:hAnsi="Times New Roman" w:eastAsia="宋体" w:cs="Times New Roman"/>
          <w:kern w:val="2"/>
          <w:sz w:val="24"/>
          <w:szCs w:val="24"/>
          <w:lang w:val="en-US" w:eastAsia="zh-CN" w:bidi="ar"/>
        </w:rPr>
        <w:t>则安装了GPS</w:t>
      </w:r>
      <w:r>
        <w:rPr>
          <w:rFonts w:hint="eastAsia" w:ascii="宋体" w:hAnsi="宋体" w:eastAsia="宋体" w:cs="宋体"/>
          <w:kern w:val="2"/>
          <w:sz w:val="24"/>
          <w:szCs w:val="24"/>
          <w:lang w:val="en-US" w:eastAsia="zh-CN" w:bidi="ar"/>
        </w:rPr>
        <w:t>模块，以实现更精准的定位功能。</w:t>
      </w:r>
    </w:p>
    <w:p w14:paraId="255D334A">
      <w:pPr>
        <w:pStyle w:val="8"/>
        <w:numPr>
          <w:ilvl w:val="0"/>
          <w:numId w:val="1"/>
        </w:numPr>
        <w:ind w:left="720" w:leftChars="0" w:hanging="720" w:firstLineChars="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作品代表展示图</w:t>
      </w:r>
    </w:p>
    <w:p w14:paraId="39BC1729">
      <w:pPr>
        <w:pStyle w:val="8"/>
        <w:ind w:left="0" w:leftChars="0" w:firstLine="0" w:firstLineChars="0"/>
        <w:jc w:val="center"/>
        <w:rPr>
          <w:rFonts w:hint="eastAsia" w:ascii="仿宋_GB2312" w:eastAsia="仿宋_GB2312"/>
          <w:sz w:val="32"/>
          <w:szCs w:val="28"/>
          <w:lang w:eastAsia="zh-CN"/>
        </w:rPr>
      </w:pPr>
      <w:r>
        <w:rPr>
          <w:rFonts w:hint="eastAsia" w:ascii="仿宋_GB2312" w:eastAsia="仿宋_GB2312"/>
          <w:sz w:val="32"/>
          <w:szCs w:val="28"/>
          <w:lang w:eastAsia="zh-CN"/>
        </w:rPr>
        <w:drawing>
          <wp:inline distT="0" distB="0" distL="114300" distR="114300">
            <wp:extent cx="4319905" cy="3599815"/>
            <wp:effectExtent l="0" t="0" r="8255" b="12065"/>
            <wp:docPr id="3" name="图片 3" descr="1cbee7fc53b3f5b6b9ea7abab9d36fe2_0"/>
            <wp:cNvGraphicFramePr/>
            <a:graphic xmlns:a="http://schemas.openxmlformats.org/drawingml/2006/main">
              <a:graphicData uri="http://schemas.openxmlformats.org/drawingml/2006/picture">
                <pic:pic xmlns:pic="http://schemas.openxmlformats.org/drawingml/2006/picture">
                  <pic:nvPicPr>
                    <pic:cNvPr id="3" name="图片 3" descr="1cbee7fc53b3f5b6b9ea7abab9d36fe2_0"/>
                    <pic:cNvPicPr/>
                  </pic:nvPicPr>
                  <pic:blipFill>
                    <a:blip r:embed="rId4"/>
                    <a:stretch>
                      <a:fillRect/>
                    </a:stretch>
                  </pic:blipFill>
                  <pic:spPr>
                    <a:xfrm>
                      <a:off x="0" y="0"/>
                      <a:ext cx="4319905" cy="3599815"/>
                    </a:xfrm>
                    <a:prstGeom prst="rect">
                      <a:avLst/>
                    </a:prstGeom>
                  </pic:spPr>
                </pic:pic>
              </a:graphicData>
            </a:graphic>
          </wp:inline>
        </w:drawing>
      </w:r>
    </w:p>
    <w:p w14:paraId="5523C4FD">
      <w:pPr>
        <w:pStyle w:val="8"/>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图2-1正视图</w:t>
      </w:r>
    </w:p>
    <w:p w14:paraId="040F0BCF">
      <w:pPr>
        <w:pStyle w:val="8"/>
        <w:ind w:left="0" w:leftChars="0" w:firstLine="0" w:firstLineChars="0"/>
        <w:jc w:val="center"/>
        <w:rPr>
          <w:rFonts w:hint="eastAsia" w:ascii="仿宋_GB2312" w:eastAsia="仿宋_GB2312"/>
          <w:sz w:val="32"/>
          <w:szCs w:val="28"/>
          <w:lang w:eastAsia="zh-CN"/>
        </w:rPr>
      </w:pPr>
      <w:r>
        <w:rPr>
          <w:rFonts w:hint="eastAsia" w:ascii="仿宋_GB2312" w:eastAsia="仿宋_GB2312"/>
          <w:sz w:val="32"/>
          <w:szCs w:val="28"/>
          <w:lang w:eastAsia="zh-CN"/>
        </w:rPr>
        <w:drawing>
          <wp:inline distT="0" distB="0" distL="114300" distR="114300">
            <wp:extent cx="4319905" cy="3599815"/>
            <wp:effectExtent l="0" t="0" r="8255" b="12065"/>
            <wp:docPr id="6" name="图片 6" descr="95adfee0eaa744181eb636a43c75b84e_0"/>
            <wp:cNvGraphicFramePr/>
            <a:graphic xmlns:a="http://schemas.openxmlformats.org/drawingml/2006/main">
              <a:graphicData uri="http://schemas.openxmlformats.org/drawingml/2006/picture">
                <pic:pic xmlns:pic="http://schemas.openxmlformats.org/drawingml/2006/picture">
                  <pic:nvPicPr>
                    <pic:cNvPr id="6" name="图片 6" descr="95adfee0eaa744181eb636a43c75b84e_0"/>
                    <pic:cNvPicPr/>
                  </pic:nvPicPr>
                  <pic:blipFill>
                    <a:blip r:embed="rId5"/>
                    <a:stretch>
                      <a:fillRect/>
                    </a:stretch>
                  </pic:blipFill>
                  <pic:spPr>
                    <a:xfrm>
                      <a:off x="0" y="0"/>
                      <a:ext cx="4319905" cy="3599815"/>
                    </a:xfrm>
                    <a:prstGeom prst="rect">
                      <a:avLst/>
                    </a:prstGeom>
                  </pic:spPr>
                </pic:pic>
              </a:graphicData>
            </a:graphic>
          </wp:inline>
        </w:drawing>
      </w:r>
    </w:p>
    <w:p w14:paraId="0E241CE3">
      <w:pPr>
        <w:pStyle w:val="8"/>
        <w:ind w:left="0" w:leftChars="0" w:firstLine="0" w:firstLineChars="0"/>
        <w:jc w:val="center"/>
        <w:rPr>
          <w:rFonts w:hint="eastAsia" w:ascii="仿宋_GB2312" w:eastAsia="仿宋_GB2312"/>
          <w:sz w:val="32"/>
          <w:szCs w:val="28"/>
          <w:lang w:eastAsia="zh-CN"/>
        </w:rPr>
      </w:pPr>
      <w:r>
        <w:rPr>
          <w:rFonts w:hint="default" w:ascii="Times New Roman" w:hAnsi="Times New Roman" w:eastAsia="宋体" w:cs="Times New Roman"/>
          <w:sz w:val="21"/>
          <w:szCs w:val="21"/>
          <w:lang w:val="en-US" w:eastAsia="zh-CN"/>
        </w:rPr>
        <w:t>图2-2侧视图</w:t>
      </w:r>
    </w:p>
    <w:p w14:paraId="5CA50EF0">
      <w:pPr>
        <w:pStyle w:val="8"/>
        <w:ind w:left="720" w:firstLine="0" w:firstLineChars="0"/>
        <w:rPr>
          <w:rFonts w:hint="eastAsia" w:ascii="仿宋_GB2312" w:eastAsia="仿宋_GB2312"/>
          <w:sz w:val="32"/>
          <w:szCs w:val="28"/>
          <w:lang w:eastAsia="zh-CN"/>
        </w:rPr>
      </w:pPr>
      <w:r>
        <w:rPr>
          <w:rFonts w:hint="eastAsia" w:ascii="仿宋_GB2312" w:eastAsia="仿宋_GB2312"/>
          <w:sz w:val="32"/>
          <w:szCs w:val="28"/>
          <w:lang w:eastAsia="zh-CN"/>
        </w:rPr>
        <w:drawing>
          <wp:inline distT="0" distB="0" distL="114300" distR="114300">
            <wp:extent cx="4319905" cy="3599815"/>
            <wp:effectExtent l="0" t="0" r="8255" b="12065"/>
            <wp:docPr id="4" name="图片 4" descr="01fba915a3f0f3346f4b458810a8e0c2_0"/>
            <wp:cNvGraphicFramePr/>
            <a:graphic xmlns:a="http://schemas.openxmlformats.org/drawingml/2006/main">
              <a:graphicData uri="http://schemas.openxmlformats.org/drawingml/2006/picture">
                <pic:pic xmlns:pic="http://schemas.openxmlformats.org/drawingml/2006/picture">
                  <pic:nvPicPr>
                    <pic:cNvPr id="4" name="图片 4" descr="01fba915a3f0f3346f4b458810a8e0c2_0"/>
                    <pic:cNvPicPr/>
                  </pic:nvPicPr>
                  <pic:blipFill>
                    <a:blip r:embed="rId6"/>
                    <a:stretch>
                      <a:fillRect/>
                    </a:stretch>
                  </pic:blipFill>
                  <pic:spPr>
                    <a:xfrm>
                      <a:off x="0" y="0"/>
                      <a:ext cx="4319905" cy="3599815"/>
                    </a:xfrm>
                    <a:prstGeom prst="rect">
                      <a:avLst/>
                    </a:prstGeom>
                  </pic:spPr>
                </pic:pic>
              </a:graphicData>
            </a:graphic>
          </wp:inline>
        </w:drawing>
      </w:r>
    </w:p>
    <w:p w14:paraId="34C81BEF">
      <w:pPr>
        <w:pStyle w:val="8"/>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图2-3俯视图</w:t>
      </w:r>
    </w:p>
    <w:p w14:paraId="146DFA8F">
      <w:pPr>
        <w:pStyle w:val="8"/>
        <w:ind w:left="0" w:leftChars="0" w:firstLine="0" w:firstLineChars="0"/>
        <w:jc w:val="center"/>
        <w:rPr>
          <w:rFonts w:hint="default" w:ascii="Times New Roman" w:hAnsi="Times New Roman" w:eastAsia="宋体" w:cs="Times New Roman"/>
          <w:sz w:val="21"/>
          <w:szCs w:val="21"/>
          <w:lang w:val="en-US" w:eastAsia="zh-CN"/>
        </w:rPr>
      </w:pPr>
    </w:p>
    <w:p w14:paraId="040C1806">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选题确定</w:t>
      </w:r>
    </w:p>
    <w:p w14:paraId="68562B24">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方正黑体_GBK" w:eastAsia="方正黑体_GBK"/>
          <w:sz w:val="32"/>
          <w:szCs w:val="28"/>
        </w:rPr>
      </w:pPr>
      <w:r>
        <w:rPr>
          <w:rFonts w:hint="eastAsia" w:ascii="宋体" w:hAnsi="宋体" w:eastAsia="宋体" w:cs="宋体"/>
          <w:sz w:val="24"/>
          <w:szCs w:val="24"/>
        </w:rPr>
        <w:t>我的选</w:t>
      </w:r>
      <w:r>
        <w:rPr>
          <w:rFonts w:hint="eastAsia" w:ascii="宋体" w:hAnsi="宋体" w:eastAsia="宋体" w:cs="宋体"/>
          <w:sz w:val="24"/>
          <w:szCs w:val="24"/>
          <w:lang w:val="en-US" w:eastAsia="zh-CN"/>
        </w:rPr>
        <w:t>题是实体科普作品里的科普展教品，可以更好的解释本实物的科学原理和运用。</w:t>
      </w:r>
    </w:p>
    <w:p w14:paraId="46C0DA7A">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科学原理及方法</w:t>
      </w:r>
    </w:p>
    <w:p w14:paraId="010981AA">
      <w:pPr>
        <w:pStyle w:val="8"/>
        <w:keepNext w:val="0"/>
        <w:keepLines w:val="0"/>
        <w:pageBreakBefore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sz w:val="24"/>
          <w:szCs w:val="24"/>
        </w:rPr>
      </w:pPr>
      <w:r>
        <w:rPr>
          <w:rFonts w:hint="eastAsia" w:ascii="宋体" w:hAnsi="宋体" w:eastAsia="宋体" w:cs="宋体"/>
          <w:b/>
          <w:bCs/>
          <w:sz w:val="24"/>
          <w:szCs w:val="24"/>
        </w:rPr>
        <w:t>本作品展示的科学原理</w:t>
      </w:r>
    </w:p>
    <w:p w14:paraId="74AF5462">
      <w:pPr>
        <w:pStyle w:val="8"/>
        <w:keepNext w:val="0"/>
        <w:keepLines w:val="0"/>
        <w:pageBreakBefore w:val="0"/>
        <w:numPr>
          <w:ilvl w:val="0"/>
          <w:numId w:val="2"/>
        </w:numPr>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eastAsia="宋体" w:cs="Times New Roman"/>
          <w:i w:val="0"/>
          <w:iCs w:val="0"/>
          <w:caps w:val="0"/>
          <w:color w:val="222226"/>
          <w:spacing w:val="0"/>
          <w:sz w:val="24"/>
          <w:szCs w:val="24"/>
          <w:lang w:val="en-US" w:eastAsia="zh-CN"/>
        </w:rPr>
      </w:pPr>
      <w:r>
        <w:rPr>
          <w:rFonts w:hint="default" w:ascii="Times New Roman" w:hAnsi="Times New Roman" w:eastAsia="宋体" w:cs="Times New Roman"/>
          <w:i w:val="0"/>
          <w:iCs w:val="0"/>
          <w:caps w:val="0"/>
          <w:color w:val="222226"/>
          <w:spacing w:val="0"/>
          <w:sz w:val="24"/>
          <w:szCs w:val="24"/>
          <w:lang w:val="en-US" w:eastAsia="zh-CN"/>
        </w:rPr>
        <w:t>GPS定位技术</w:t>
      </w:r>
      <w:r>
        <w:rPr>
          <w:rFonts w:hint="default" w:ascii="Times New Roman" w:hAnsi="Times New Roman" w:cs="Times New Roman"/>
          <w:i w:val="0"/>
          <w:iCs w:val="0"/>
          <w:caps w:val="0"/>
          <w:color w:val="222226"/>
          <w:spacing w:val="0"/>
          <w:sz w:val="24"/>
          <w:szCs w:val="24"/>
          <w:lang w:val="en-US" w:eastAsia="zh-CN"/>
        </w:rPr>
        <w:t>：</w:t>
      </w:r>
    </w:p>
    <w:p w14:paraId="371A5A89">
      <w:pPr>
        <w:pStyle w:val="8"/>
        <w:keepNext w:val="0"/>
        <w:keepLines w:val="0"/>
        <w:pageBreakBefore w:val="0"/>
        <w:numPr>
          <w:ilvl w:val="0"/>
          <w:numId w:val="0"/>
        </w:numPr>
        <w:kinsoku/>
        <w:wordWrap/>
        <w:overflowPunct/>
        <w:topLinePunct w:val="0"/>
        <w:autoSpaceDE/>
        <w:autoSpaceDN/>
        <w:bidi w:val="0"/>
        <w:adjustRightInd/>
        <w:snapToGrid/>
        <w:spacing w:line="360" w:lineRule="auto"/>
        <w:ind w:leftChars="0"/>
        <w:textAlignment w:val="auto"/>
        <w:rPr>
          <w:rFonts w:hint="default" w:ascii="Times New Roman" w:hAnsi="Times New Roman" w:eastAsia="宋体" w:cs="Times New Roman"/>
          <w:i w:val="0"/>
          <w:iCs w:val="0"/>
          <w:caps w:val="0"/>
          <w:color w:val="222226"/>
          <w:spacing w:val="0"/>
          <w:sz w:val="24"/>
          <w:szCs w:val="24"/>
          <w:lang w:val="en-US" w:eastAsia="zh-CN"/>
        </w:rPr>
      </w:pPr>
      <w:r>
        <w:rPr>
          <w:rFonts w:hint="default" w:ascii="Times New Roman" w:hAnsi="Times New Roman" w:cs="Times New Roman"/>
          <w:i w:val="0"/>
          <w:iCs w:val="0"/>
          <w:caps w:val="0"/>
          <w:color w:val="222226"/>
          <w:spacing w:val="0"/>
          <w:sz w:val="24"/>
          <w:szCs w:val="24"/>
          <w:lang w:val="en-US" w:eastAsia="zh-CN"/>
        </w:rPr>
        <w:t>（1）</w:t>
      </w:r>
      <w:r>
        <w:rPr>
          <w:rFonts w:hint="default" w:ascii="Times New Roman" w:hAnsi="Times New Roman" w:eastAsia="宋体" w:cs="Times New Roman"/>
          <w:i w:val="0"/>
          <w:iCs w:val="0"/>
          <w:caps w:val="0"/>
          <w:color w:val="222226"/>
          <w:spacing w:val="0"/>
          <w:sz w:val="24"/>
          <w:szCs w:val="24"/>
          <w:lang w:val="en-US" w:eastAsia="zh-CN"/>
        </w:rPr>
        <w:t>一种通过接收来自多颗卫星的信号，从而实现对地球表面上任意位置进行三维空间精确测定的方法。这种技术依赖于全球定位系统（Global Positioning System），该系统在20世纪70年代初期开始部署，并在1995年全面投入使用。GPS定位系统由24颗以上的卫星组成，这些卫星均匀分布在地球的中高轨道上，确保全球任何地点都能同时接收到至少四颗卫星的信号。</w:t>
      </w:r>
    </w:p>
    <w:p w14:paraId="18EAC703">
      <w:pPr>
        <w:pStyle w:val="8"/>
        <w:keepNext w:val="0"/>
        <w:keepLines w:val="0"/>
        <w:pageBreakBefore w:val="0"/>
        <w:numPr>
          <w:ilvl w:val="0"/>
          <w:numId w:val="0"/>
        </w:numPr>
        <w:kinsoku/>
        <w:wordWrap/>
        <w:overflowPunct/>
        <w:topLinePunct w:val="0"/>
        <w:autoSpaceDE/>
        <w:autoSpaceDN/>
        <w:bidi w:val="0"/>
        <w:adjustRightInd/>
        <w:snapToGrid/>
        <w:spacing w:line="360" w:lineRule="auto"/>
        <w:ind w:leftChars="0"/>
        <w:textAlignment w:val="auto"/>
        <w:rPr>
          <w:rFonts w:hint="default" w:ascii="Times New Roman" w:hAnsi="Times New Roman" w:eastAsia="宋体" w:cs="Times New Roman"/>
          <w:i w:val="0"/>
          <w:iCs w:val="0"/>
          <w:caps w:val="0"/>
          <w:color w:val="222226"/>
          <w:spacing w:val="0"/>
          <w:sz w:val="24"/>
          <w:szCs w:val="24"/>
          <w:lang w:val="en-US" w:eastAsia="zh-CN"/>
        </w:rPr>
      </w:pPr>
      <w:r>
        <w:rPr>
          <w:rFonts w:hint="default" w:ascii="Times New Roman" w:hAnsi="Times New Roman" w:cs="Times New Roman"/>
          <w:i w:val="0"/>
          <w:iCs w:val="0"/>
          <w:caps w:val="0"/>
          <w:color w:val="222226"/>
          <w:spacing w:val="0"/>
          <w:sz w:val="24"/>
          <w:szCs w:val="24"/>
          <w:lang w:val="en-US" w:eastAsia="zh-CN"/>
        </w:rPr>
        <w:t>（2）</w:t>
      </w:r>
      <w:r>
        <w:rPr>
          <w:rFonts w:hint="default" w:ascii="Times New Roman" w:hAnsi="Times New Roman" w:eastAsia="宋体" w:cs="Times New Roman"/>
          <w:i w:val="0"/>
          <w:iCs w:val="0"/>
          <w:caps w:val="0"/>
          <w:color w:val="222226"/>
          <w:spacing w:val="0"/>
          <w:sz w:val="24"/>
          <w:szCs w:val="24"/>
          <w:lang w:val="en-US" w:eastAsia="zh-CN"/>
        </w:rPr>
        <w:t>当GPS接收器启动时，它会搜索天空中的卫星信号，并与至少四颗卫星建立联系。通过测量从每颗卫星到接收器的信号传播时间，接收器可以计算出与每颗卫星的距离。利用这些距离数据和卫星的已知位置，接收器可以利用三角测量法计算出自己在三维空间中的精确位置，包括经度、纬度和海拔高度。此外，GPS定位系统还可以提供时间信息，因为信号传播时间的测量需要精确的时间同步。</w:t>
      </w:r>
    </w:p>
    <w:p w14:paraId="2F74107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i w:val="0"/>
          <w:iCs w:val="0"/>
          <w:caps w:val="0"/>
          <w:color w:val="222226"/>
          <w:spacing w:val="0"/>
          <w:sz w:val="24"/>
          <w:szCs w:val="24"/>
        </w:rPr>
      </w:pPr>
      <w:r>
        <w:rPr>
          <w:rFonts w:hint="default" w:ascii="Times New Roman" w:hAnsi="Times New Roman" w:cs="Times New Roman"/>
          <w:i w:val="0"/>
          <w:iCs w:val="0"/>
          <w:caps w:val="0"/>
          <w:color w:val="222226"/>
          <w:spacing w:val="0"/>
          <w:kern w:val="2"/>
          <w:sz w:val="24"/>
          <w:szCs w:val="24"/>
          <w:lang w:val="en-US" w:eastAsia="zh-CN" w:bidi="ar-SA"/>
        </w:rPr>
        <w:t>（3）</w:t>
      </w:r>
      <w:r>
        <w:rPr>
          <w:rFonts w:hint="default" w:ascii="Times New Roman" w:hAnsi="Times New Roman" w:eastAsia="宋体" w:cs="Times New Roman"/>
          <w:b w:val="0"/>
          <w:bCs w:val="0"/>
          <w:i w:val="0"/>
          <w:iCs w:val="0"/>
          <w:caps w:val="0"/>
          <w:color w:val="222226"/>
          <w:spacing w:val="0"/>
          <w:kern w:val="2"/>
          <w:sz w:val="24"/>
          <w:szCs w:val="24"/>
          <w:lang w:val="en-US" w:eastAsia="zh-CN" w:bidi="ar-SA"/>
        </w:rPr>
        <w:t>GPS</w:t>
      </w:r>
      <w:r>
        <w:rPr>
          <w:rFonts w:hint="default" w:ascii="Times New Roman" w:hAnsi="Times New Roman" w:eastAsia="宋体" w:cs="Times New Roman"/>
          <w:i w:val="0"/>
          <w:iCs w:val="0"/>
          <w:caps w:val="0"/>
          <w:color w:val="222226"/>
          <w:spacing w:val="0"/>
          <w:kern w:val="2"/>
          <w:sz w:val="24"/>
          <w:szCs w:val="24"/>
          <w:lang w:val="en-US" w:eastAsia="zh-CN" w:bidi="ar-SA"/>
        </w:rPr>
        <w:t>定位技术广泛应用于各种领域，包括导航、测绘、农业、军事、交通管理和户外运动等。随着技术的进步，</w:t>
      </w:r>
      <w:r>
        <w:rPr>
          <w:rFonts w:hint="default" w:ascii="Times New Roman" w:hAnsi="Times New Roman" w:eastAsia="宋体" w:cs="Times New Roman"/>
          <w:b w:val="0"/>
          <w:bCs w:val="0"/>
          <w:i w:val="0"/>
          <w:iCs w:val="0"/>
          <w:caps w:val="0"/>
          <w:color w:val="222226"/>
          <w:spacing w:val="0"/>
          <w:kern w:val="2"/>
          <w:sz w:val="24"/>
          <w:szCs w:val="24"/>
          <w:lang w:val="en-US" w:eastAsia="zh-CN" w:bidi="ar-SA"/>
        </w:rPr>
        <w:t>GPS</w:t>
      </w:r>
      <w:r>
        <w:rPr>
          <w:rFonts w:hint="default" w:ascii="Times New Roman" w:hAnsi="Times New Roman" w:eastAsia="宋体" w:cs="Times New Roman"/>
          <w:i w:val="0"/>
          <w:iCs w:val="0"/>
          <w:caps w:val="0"/>
          <w:color w:val="222226"/>
          <w:spacing w:val="0"/>
          <w:kern w:val="2"/>
          <w:sz w:val="24"/>
          <w:szCs w:val="24"/>
          <w:lang w:val="en-US" w:eastAsia="zh-CN" w:bidi="ar-SA"/>
        </w:rPr>
        <w:t>设备的精度和可靠性不断提高，使得人们能够在全球范围内进行精确的位置定位和导航。</w:t>
      </w:r>
    </w:p>
    <w:p w14:paraId="47F1272D">
      <w:pPr>
        <w:pStyle w:val="8"/>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i w:val="0"/>
          <w:iCs w:val="0"/>
          <w:caps w:val="0"/>
          <w:color w:val="222226"/>
          <w:spacing w:val="0"/>
          <w:sz w:val="24"/>
          <w:szCs w:val="24"/>
          <w:lang w:val="en-US" w:eastAsia="zh-CN"/>
        </w:rPr>
      </w:pPr>
      <w:r>
        <w:rPr>
          <w:rFonts w:hint="eastAsia" w:ascii="Times New Roman" w:hAnsi="Times New Roman" w:eastAsia="宋体" w:cs="Times New Roman"/>
          <w:b w:val="0"/>
          <w:bCs w:val="0"/>
          <w:i w:val="0"/>
          <w:iCs w:val="0"/>
          <w:caps w:val="0"/>
          <w:color w:val="222226"/>
          <w:spacing w:val="0"/>
          <w:sz w:val="24"/>
          <w:szCs w:val="24"/>
          <w:lang w:val="en-US" w:eastAsia="zh-CN"/>
        </w:rPr>
        <w:t>快速傅里叶变换（FFT</w:t>
      </w:r>
      <w:r>
        <w:rPr>
          <w:rFonts w:hint="eastAsia" w:ascii="宋体" w:hAnsi="宋体" w:eastAsia="宋体" w:cs="宋体"/>
          <w:i w:val="0"/>
          <w:iCs w:val="0"/>
          <w:caps w:val="0"/>
          <w:color w:val="222226"/>
          <w:spacing w:val="0"/>
          <w:sz w:val="24"/>
          <w:szCs w:val="24"/>
          <w:lang w:val="en-US" w:eastAsia="zh-CN"/>
        </w:rPr>
        <w:t>）算法的原理</w:t>
      </w:r>
      <w:r>
        <w:rPr>
          <w:rFonts w:hint="eastAsia" w:ascii="宋体" w:hAnsi="宋体" w:cs="宋体"/>
          <w:i w:val="0"/>
          <w:iCs w:val="0"/>
          <w:caps w:val="0"/>
          <w:color w:val="222226"/>
          <w:spacing w:val="0"/>
          <w:sz w:val="24"/>
          <w:szCs w:val="24"/>
          <w:lang w:val="en-US" w:eastAsia="zh-CN"/>
        </w:rPr>
        <w:t>：</w:t>
      </w:r>
    </w:p>
    <w:p w14:paraId="0E62057B">
      <w:pPr>
        <w:pStyle w:val="8"/>
        <w:keepNext w:val="0"/>
        <w:keepLines w:val="0"/>
        <w:pageBreakBefore w:val="0"/>
        <w:widowControl w:val="0"/>
        <w:numPr>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i w:val="0"/>
          <w:iCs w:val="0"/>
          <w:caps w:val="0"/>
          <w:color w:val="222226"/>
          <w:spacing w:val="0"/>
          <w:sz w:val="24"/>
          <w:szCs w:val="24"/>
          <w:lang w:val="en-US" w:eastAsia="zh-CN"/>
        </w:rPr>
      </w:pPr>
      <w:r>
        <w:rPr>
          <w:rFonts w:hint="eastAsia" w:ascii="宋体" w:hAnsi="宋体" w:eastAsia="宋体" w:cs="宋体"/>
          <w:i w:val="0"/>
          <w:iCs w:val="0"/>
          <w:caps w:val="0"/>
          <w:color w:val="222226"/>
          <w:spacing w:val="0"/>
          <w:sz w:val="24"/>
          <w:szCs w:val="24"/>
          <w:lang w:val="en-US" w:eastAsia="zh-CN"/>
        </w:rPr>
        <w:t>基于数学上的傅立叶级数和傅里叶变换</w:t>
      </w:r>
      <w:r>
        <w:rPr>
          <w:rFonts w:hint="eastAsia" w:ascii="宋体" w:hAnsi="宋体" w:cs="宋体"/>
          <w:i w:val="0"/>
          <w:iCs w:val="0"/>
          <w:caps w:val="0"/>
          <w:color w:val="222226"/>
          <w:spacing w:val="0"/>
          <w:sz w:val="24"/>
          <w:szCs w:val="24"/>
          <w:lang w:val="en-US" w:eastAsia="zh-CN"/>
        </w:rPr>
        <w:t>理</w:t>
      </w:r>
      <w:r>
        <w:rPr>
          <w:rFonts w:hint="eastAsia" w:ascii="宋体" w:hAnsi="宋体" w:eastAsia="宋体" w:cs="宋体"/>
          <w:i w:val="0"/>
          <w:iCs w:val="0"/>
          <w:caps w:val="0"/>
          <w:color w:val="222226"/>
          <w:spacing w:val="0"/>
          <w:sz w:val="24"/>
          <w:szCs w:val="24"/>
          <w:lang w:val="en-US" w:eastAsia="zh-CN"/>
        </w:rPr>
        <w:t>论。傅立叶级数是一种将周期函数分解为不同频率的正弦波和余弦波的和的方法，而傅里叶变换则是将非周期函数分解为连续频率的正弦波和余弦波的积分形式。FFT算法通过利用对称性和周期性等数学性质，显著减少了计算量，从而实现了快速计算傅里叶变换的目的。该算法在信号处理、图像处理、通信系统等领域具有广泛的应用价值。</w:t>
      </w:r>
    </w:p>
    <w:p w14:paraId="5A3F5C1B">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105" w:afterAutospacing="0" w:line="360" w:lineRule="auto"/>
        <w:ind w:right="0" w:rightChars="0"/>
        <w:textAlignment w:val="auto"/>
        <w:rPr>
          <w:rFonts w:hint="eastAsia" w:ascii="宋体" w:hAnsi="宋体" w:eastAsia="宋体" w:cs="宋体"/>
          <w:b/>
          <w:bCs/>
          <w:sz w:val="24"/>
          <w:szCs w:val="24"/>
        </w:rPr>
      </w:pPr>
      <w:r>
        <w:rPr>
          <w:rFonts w:hint="eastAsia" w:ascii="宋体" w:hAnsi="宋体" w:eastAsia="宋体" w:cs="宋体"/>
          <w:b/>
          <w:bCs/>
          <w:sz w:val="24"/>
          <w:szCs w:val="24"/>
        </w:rPr>
        <w:t>本作品运用的科学方法</w:t>
      </w:r>
    </w:p>
    <w:p w14:paraId="144DD9ED">
      <w:pPr>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105" w:afterAutospacing="0" w:line="360" w:lineRule="auto"/>
        <w:ind w:right="0" w:rightChars="0"/>
        <w:textAlignment w:val="auto"/>
        <w:rPr>
          <w:rFonts w:hint="eastAsia" w:ascii="宋体" w:hAnsi="宋体" w:eastAsia="宋体" w:cs="宋体"/>
          <w:sz w:val="24"/>
          <w:szCs w:val="24"/>
          <w:lang w:val="en-US" w:eastAsia="zh-CN"/>
        </w:rPr>
      </w:pPr>
      <w:r>
        <w:rPr>
          <w:rFonts w:hint="eastAsia" w:cs="Times New Roman"/>
          <w:sz w:val="24"/>
          <w:szCs w:val="24"/>
          <w:lang w:val="en-US" w:eastAsia="zh-CN"/>
        </w:rPr>
        <w:t>1.</w:t>
      </w:r>
      <w:r>
        <w:rPr>
          <w:rFonts w:hint="default" w:ascii="Times New Roman" w:hAnsi="Times New Roman" w:eastAsia="宋体" w:cs="Times New Roman"/>
          <w:sz w:val="24"/>
          <w:szCs w:val="24"/>
          <w:lang w:val="en-US" w:eastAsia="zh-CN"/>
        </w:rPr>
        <w:t>GPS</w:t>
      </w:r>
      <w:r>
        <w:rPr>
          <w:rFonts w:hint="eastAsia" w:ascii="宋体" w:hAnsi="宋体" w:eastAsia="宋体" w:cs="宋体"/>
          <w:sz w:val="24"/>
          <w:szCs w:val="24"/>
          <w:lang w:val="en-US" w:eastAsia="zh-CN"/>
        </w:rPr>
        <w:t>定位</w:t>
      </w:r>
    </w:p>
    <w:p w14:paraId="33782140">
      <w:pPr>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105" w:afterAutospacing="0" w:line="360" w:lineRule="auto"/>
        <w:ind w:leftChars="0" w:right="0" w:rightChars="0"/>
        <w:textAlignment w:val="auto"/>
        <w:rPr>
          <w:rFonts w:hint="eastAsia" w:ascii="仿宋_GB2312" w:eastAsia="仿宋_GB2312"/>
          <w:sz w:val="32"/>
          <w:szCs w:val="28"/>
        </w:rPr>
      </w:pP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FFT</w:t>
      </w:r>
      <w:r>
        <w:rPr>
          <w:rFonts w:hint="eastAsia" w:ascii="宋体" w:hAnsi="宋体" w:eastAsia="宋体" w:cs="宋体"/>
          <w:sz w:val="24"/>
          <w:szCs w:val="24"/>
          <w:lang w:val="en-US" w:eastAsia="zh-CN"/>
        </w:rPr>
        <w:t>算法声音处理</w:t>
      </w:r>
    </w:p>
    <w:p w14:paraId="22EC5D1E">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目的和思路</w:t>
      </w:r>
    </w:p>
    <w:p w14:paraId="39265385">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lang w:val="en-US" w:eastAsia="zh-CN"/>
        </w:rPr>
      </w:pPr>
      <w:r>
        <w:rPr>
          <w:rFonts w:hint="default" w:ascii="Times New Roman" w:hAnsi="Times New Roman" w:cs="Times New Roman"/>
          <w:b/>
          <w:bCs/>
          <w:sz w:val="24"/>
          <w:szCs w:val="24"/>
          <w:lang w:val="en-US" w:eastAsia="zh-CN"/>
        </w:rPr>
        <w:t>1</w:t>
      </w:r>
      <w:r>
        <w:rPr>
          <w:rFonts w:hint="eastAsia" w:ascii="宋体" w:hAnsi="宋体" w:cs="宋体"/>
          <w:b/>
          <w:bCs/>
          <w:sz w:val="24"/>
          <w:szCs w:val="24"/>
          <w:lang w:val="en-US" w:eastAsia="zh-CN"/>
        </w:rPr>
        <w:t>.</w:t>
      </w:r>
      <w:r>
        <w:rPr>
          <w:rFonts w:hint="eastAsia" w:ascii="宋体" w:hAnsi="宋体" w:eastAsia="宋体" w:cs="宋体"/>
          <w:b/>
          <w:bCs/>
          <w:sz w:val="24"/>
          <w:szCs w:val="24"/>
        </w:rPr>
        <w:t>创作本作品的目的</w:t>
      </w:r>
      <w:r>
        <w:rPr>
          <w:rFonts w:hint="eastAsia" w:ascii="宋体" w:hAnsi="宋体" w:cs="宋体"/>
          <w:sz w:val="24"/>
          <w:szCs w:val="24"/>
          <w:lang w:eastAsia="zh-CN"/>
        </w:rPr>
        <w:t>：</w:t>
      </w:r>
      <w:r>
        <w:rPr>
          <w:rFonts w:hint="eastAsia" w:ascii="宋体" w:hAnsi="宋体" w:eastAsia="宋体" w:cs="宋体"/>
          <w:sz w:val="24"/>
          <w:szCs w:val="24"/>
          <w:lang w:val="en-US" w:eastAsia="zh-CN"/>
        </w:rPr>
        <w:t>为了更好地推广</w:t>
      </w:r>
      <w:r>
        <w:rPr>
          <w:rFonts w:hint="eastAsia" w:ascii="Times New Roman" w:hAnsi="Times New Roman" w:eastAsia="宋体" w:cs="Times New Roman"/>
          <w:sz w:val="24"/>
          <w:szCs w:val="24"/>
          <w:lang w:val="en-US" w:eastAsia="zh-CN"/>
        </w:rPr>
        <w:t>GPS</w:t>
      </w:r>
      <w:r>
        <w:rPr>
          <w:rFonts w:hint="eastAsia" w:ascii="宋体" w:hAnsi="宋体" w:eastAsia="宋体" w:cs="宋体"/>
          <w:sz w:val="24"/>
          <w:szCs w:val="24"/>
          <w:lang w:val="en-US" w:eastAsia="zh-CN"/>
        </w:rPr>
        <w:t>定位与声音处理技术的应用，积极面向全球发展</w:t>
      </w:r>
      <w:r>
        <w:rPr>
          <w:rFonts w:hint="eastAsia" w:ascii="宋体" w:hAnsi="宋体" w:cs="宋体"/>
          <w:sz w:val="24"/>
          <w:szCs w:val="24"/>
          <w:lang w:val="en-US" w:eastAsia="zh-CN"/>
        </w:rPr>
        <w:t>。</w:t>
      </w:r>
    </w:p>
    <w:p w14:paraId="3812633C">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仿宋_GB2312" w:eastAsia="仿宋_GB2312"/>
          <w:sz w:val="32"/>
          <w:szCs w:val="28"/>
        </w:rPr>
      </w:pPr>
      <w:r>
        <w:rPr>
          <w:rFonts w:hint="default" w:ascii="Times New Roman" w:hAnsi="Times New Roman" w:cs="Times New Roman"/>
          <w:b/>
          <w:bCs/>
          <w:sz w:val="24"/>
          <w:szCs w:val="24"/>
          <w:lang w:val="en-US" w:eastAsia="zh-CN"/>
        </w:rPr>
        <w:t>2</w:t>
      </w:r>
      <w:r>
        <w:rPr>
          <w:rFonts w:hint="eastAsia" w:ascii="宋体" w:hAnsi="宋体" w:cs="宋体"/>
          <w:b/>
          <w:bCs/>
          <w:sz w:val="24"/>
          <w:szCs w:val="24"/>
          <w:lang w:val="en-US" w:eastAsia="zh-CN"/>
        </w:rPr>
        <w:t>.</w:t>
      </w:r>
      <w:r>
        <w:rPr>
          <w:rFonts w:hint="eastAsia" w:ascii="宋体" w:hAnsi="宋体" w:eastAsia="宋体" w:cs="宋体"/>
          <w:b/>
          <w:bCs/>
          <w:sz w:val="24"/>
          <w:szCs w:val="24"/>
        </w:rPr>
        <w:t>我的创作思路</w:t>
      </w:r>
      <w:r>
        <w:rPr>
          <w:rFonts w:hint="eastAsia" w:ascii="宋体" w:hAnsi="宋体" w:cs="宋体"/>
          <w:b/>
          <w:bCs/>
          <w:sz w:val="24"/>
          <w:szCs w:val="24"/>
          <w:lang w:eastAsia="zh-CN"/>
        </w:rPr>
        <w:t>：</w:t>
      </w:r>
      <w:r>
        <w:rPr>
          <w:rFonts w:hint="eastAsia" w:ascii="宋体" w:hAnsi="宋体" w:cs="宋体"/>
          <w:b w:val="0"/>
          <w:bCs w:val="0"/>
          <w:sz w:val="24"/>
          <w:szCs w:val="24"/>
          <w:lang w:val="en-US" w:eastAsia="zh-CN"/>
        </w:rPr>
        <w:t>首先，</w:t>
      </w:r>
      <w:r>
        <w:rPr>
          <w:rFonts w:hint="eastAsia" w:ascii="宋体" w:hAnsi="宋体" w:eastAsia="宋体" w:cs="宋体"/>
          <w:sz w:val="24"/>
          <w:szCs w:val="24"/>
          <w:lang w:val="en-US" w:eastAsia="zh-CN"/>
        </w:rPr>
        <w:t>明确所需的模块，随后进行模块与车体的组装，接着编写代码，</w:t>
      </w:r>
      <w:r>
        <w:rPr>
          <w:rFonts w:hint="eastAsia" w:ascii="宋体" w:hAnsi="宋体" w:cs="宋体"/>
          <w:sz w:val="24"/>
          <w:szCs w:val="24"/>
          <w:lang w:val="en-US" w:eastAsia="zh-CN"/>
        </w:rPr>
        <w:t>最后，</w:t>
      </w:r>
      <w:r>
        <w:rPr>
          <w:rFonts w:hint="eastAsia" w:ascii="宋体" w:hAnsi="宋体" w:eastAsia="宋体" w:cs="宋体"/>
          <w:sz w:val="24"/>
          <w:szCs w:val="24"/>
          <w:lang w:val="en-US" w:eastAsia="zh-CN"/>
        </w:rPr>
        <w:t>在实际操作中持续优化代码，并调整车体与模块的搭建。</w:t>
      </w:r>
    </w:p>
    <w:p w14:paraId="04D48C49">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设计方案</w:t>
      </w:r>
    </w:p>
    <w:p w14:paraId="65243036">
      <w:pPr>
        <w:pStyle w:val="8"/>
        <w:ind w:left="0" w:leftChars="0" w:firstLine="0" w:firstLineChars="0"/>
        <w:rPr>
          <w:rFonts w:hint="eastAsia" w:ascii="宋体" w:hAnsi="宋体" w:eastAsia="宋体" w:cs="宋体"/>
          <w:b/>
          <w:bCs/>
          <w:sz w:val="24"/>
          <w:szCs w:val="24"/>
        </w:rPr>
      </w:pPr>
      <w:r>
        <w:rPr>
          <w:rFonts w:hint="eastAsia" w:ascii="宋体" w:hAnsi="宋体" w:eastAsia="宋体" w:cs="宋体"/>
          <w:b/>
          <w:bCs/>
          <w:sz w:val="24"/>
          <w:szCs w:val="24"/>
        </w:rPr>
        <w:t>本作品运用的设计方案</w:t>
      </w:r>
    </w:p>
    <w:p w14:paraId="21240EA9">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ascii="仿宋_GB2312" w:eastAsia="仿宋_GB2312"/>
          <w:sz w:val="32"/>
          <w:szCs w:val="28"/>
        </w:rPr>
      </w:pPr>
      <w:r>
        <w:rPr>
          <w:rFonts w:hint="eastAsia" w:ascii="宋体" w:hAnsi="宋体" w:eastAsia="宋体" w:cs="宋体"/>
          <w:sz w:val="24"/>
          <w:szCs w:val="24"/>
          <w:lang w:val="en-US" w:eastAsia="zh-CN"/>
        </w:rPr>
        <w:t>首先，使用</w:t>
      </w:r>
      <w:r>
        <w:rPr>
          <w:rFonts w:hint="eastAsia" w:ascii="宋体" w:hAnsi="宋体" w:cs="宋体"/>
          <w:sz w:val="24"/>
          <w:szCs w:val="24"/>
          <w:lang w:val="en-US" w:eastAsia="zh-CN"/>
        </w:rPr>
        <w:t>无</w:t>
      </w:r>
      <w:r>
        <w:rPr>
          <w:rFonts w:hint="eastAsia" w:ascii="宋体" w:hAnsi="宋体" w:eastAsia="宋体" w:cs="宋体"/>
          <w:sz w:val="24"/>
          <w:szCs w:val="24"/>
          <w:lang w:val="en-US" w:eastAsia="zh-CN"/>
        </w:rPr>
        <w:t>刷电机进行</w:t>
      </w:r>
      <w:r>
        <w:rPr>
          <w:rFonts w:hint="eastAsia" w:ascii="Times New Roman" w:hAnsi="Times New Roman" w:eastAsia="宋体" w:cs="Times New Roman"/>
          <w:sz w:val="24"/>
          <w:szCs w:val="24"/>
          <w:lang w:val="en-US" w:eastAsia="zh-CN"/>
        </w:rPr>
        <w:t>GPS</w:t>
      </w:r>
      <w:r>
        <w:rPr>
          <w:rFonts w:hint="eastAsia" w:ascii="宋体" w:hAnsi="宋体" w:eastAsia="宋体" w:cs="宋体"/>
          <w:sz w:val="24"/>
          <w:szCs w:val="24"/>
          <w:lang w:val="en-US" w:eastAsia="zh-CN"/>
        </w:rPr>
        <w:t>定点跑，观察车辆行驶路径与定点位置的偏差，并据此修改代码。在后续过程中，发现</w:t>
      </w:r>
      <w:r>
        <w:rPr>
          <w:rFonts w:hint="eastAsia" w:ascii="Times New Roman" w:hAnsi="Times New Roman" w:eastAsia="宋体" w:cs="Times New Roman"/>
          <w:sz w:val="24"/>
          <w:szCs w:val="24"/>
          <w:lang w:val="en-US" w:eastAsia="zh-CN"/>
        </w:rPr>
        <w:t>仅依赖GPS</w:t>
      </w:r>
      <w:r>
        <w:rPr>
          <w:rFonts w:hint="eastAsia" w:ascii="宋体" w:hAnsi="宋体" w:eastAsia="宋体" w:cs="宋体"/>
          <w:sz w:val="24"/>
          <w:szCs w:val="24"/>
          <w:lang w:val="en-US" w:eastAsia="zh-CN"/>
        </w:rPr>
        <w:t>会导致目标点偏差，因此增加了</w:t>
      </w:r>
      <w:r>
        <w:rPr>
          <w:rFonts w:hint="eastAsia" w:ascii="Times New Roman" w:hAnsi="Times New Roman" w:eastAsia="宋体" w:cs="Times New Roman"/>
          <w:sz w:val="24"/>
          <w:szCs w:val="24"/>
          <w:lang w:val="en-US" w:eastAsia="zh-CN"/>
        </w:rPr>
        <w:t>IMU963</w:t>
      </w:r>
      <w:r>
        <w:rPr>
          <w:rFonts w:hint="eastAsia" w:ascii="宋体" w:hAnsi="宋体" w:eastAsia="宋体" w:cs="宋体"/>
          <w:sz w:val="24"/>
          <w:szCs w:val="24"/>
          <w:lang w:val="en-US" w:eastAsia="zh-CN"/>
        </w:rPr>
        <w:t>（陀螺仪）以修正车身姿态。接着，加入寻声模块（硅麦）进行声音处理，并运用FFT算法和滤波技术，有效屏蔽了其他声音信号的干扰。最终，将各项功能整合并运行。</w:t>
      </w:r>
    </w:p>
    <w:p w14:paraId="2E4645A1">
      <w:pPr>
        <w:pStyle w:val="8"/>
        <w:numPr>
          <w:ilvl w:val="0"/>
          <w:numId w:val="1"/>
        </w:numPr>
        <w:ind w:firstLineChars="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技术介绍</w:t>
      </w:r>
    </w:p>
    <w:p w14:paraId="500491A0">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本作品采用多技术融合的开发方案，以实现精准控制与智能感知。在动力与定位层面，使用无刷电机驱动车辆执行 GPS 定点跑任务，通过实时监测车辆行驶路径与定点位置的偏差，动态优化控制代码，确保行驶精度；针对 GPS 定位存在的目标点偏差问题，引入 IMU963 陀螺仪，实时修正车身姿态，提升定位准确性与稳定性。​</w:t>
      </w:r>
    </w:p>
    <w:p w14:paraId="7D88FA71">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在环境感知方面，搭载寻声模块硅麦进行声音采集，运用快速傅里叶变换（FFT）算法对采集到的声音信号进行频域分析，并结合滤波技术，有效过滤其他声音信号干扰，精准识别目标声音信息。最终将动力控制、定位修正与声音处理等功能模块进行系统整合，使作品在多场景下均能稳定运行。</w:t>
      </w:r>
    </w:p>
    <w:p w14:paraId="58757F29">
      <w:pPr>
        <w:pStyle w:val="8"/>
        <w:numPr>
          <w:ilvl w:val="0"/>
          <w:numId w:val="1"/>
        </w:numPr>
        <w:ind w:firstLineChars="0"/>
        <w:rPr>
          <w:rFonts w:hint="default" w:ascii="方正黑体_GBK" w:eastAsia="方正黑体_GBK"/>
          <w:sz w:val="32"/>
          <w:szCs w:val="28"/>
          <w:lang w:val="en-US" w:eastAsia="zh-CN"/>
        </w:rPr>
      </w:pPr>
      <w:r>
        <w:rPr>
          <w:rFonts w:hint="eastAsia" w:ascii="方正黑体_GBK" w:eastAsia="方正黑体_GBK"/>
          <w:sz w:val="32"/>
          <w:szCs w:val="28"/>
          <w:lang w:val="en-US" w:eastAsia="zh-CN"/>
        </w:rPr>
        <w:t>引用来源</w:t>
      </w:r>
    </w:p>
    <w:p w14:paraId="0AB8D0A2">
      <w:pPr>
        <w:pStyle w:val="8"/>
        <w:ind w:left="0" w:leftChars="0" w:firstLine="0" w:firstLineChars="0"/>
        <w:rPr>
          <w:rFonts w:hint="default" w:ascii="宋体" w:hAnsi="宋体" w:eastAsia="宋体" w:cs="宋体"/>
          <w:b/>
          <w:bCs/>
          <w:sz w:val="24"/>
          <w:szCs w:val="24"/>
          <w:lang w:val="en-US" w:eastAsia="zh-CN"/>
        </w:rPr>
      </w:pPr>
      <w:r>
        <w:rPr>
          <w:rFonts w:hint="eastAsia" w:ascii="宋体" w:hAnsi="宋体" w:eastAsia="宋体" w:cs="宋体"/>
          <w:b/>
          <w:bCs/>
          <w:sz w:val="24"/>
          <w:szCs w:val="24"/>
          <w:lang w:val="en-US" w:eastAsia="zh-CN"/>
        </w:rPr>
        <w:t>本作品引用了以下内容：</w:t>
      </w:r>
    </w:p>
    <w:p w14:paraId="51F8B396">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1. 无刷电机相关​</w:t>
      </w:r>
    </w:p>
    <w:p w14:paraId="3E1F971D">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[1] 十八届智能车单车越野组沁恒方案分享 - GPS 基础循迹 [EB/OL]. (2023-11-08)[2025-07-03]. 详细介绍了 LQ - 2830 直流有感无刷电机和 LQ - IR2136 无刷电机驱动板的使用方法，为作品无刷电机应用提供技术支撑与实践指导。​</w:t>
      </w:r>
    </w:p>
    <w:p w14:paraId="5B7EA13A">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[2] 高性能水域无人巡查装置电机控制系统的应用设计 [J]. 中国步进电机网，2022, 35 (4): 45-50. 文中永磁无刷直流电机在高性能水上无人巡查装置中的应用案例，及其体积小、效率高的优点和相关电机控制器的介绍，对本作品无刷电机系统构建具有借鉴意义。​</w:t>
      </w:r>
    </w:p>
    <w:p w14:paraId="79C5EBD8">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2. IMU963 陀螺仪相关​</w:t>
      </w:r>
    </w:p>
    <w:p w14:paraId="7872D493">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[3] imu963ra 介绍 [EB/OL]. CSDN 文库，(2023-08-22)[2025-07-03]. 该文献对 IMU9630RA 在姿态估计、航向控制和导航定位中的关键作用，以及其高度集成、精准度高、具备内部校准功能等特点进行了说明，为作品引入该陀螺仪提供理论依据。​</w:t>
      </w:r>
    </w:p>
    <w:p w14:paraId="197A47BD">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[4] 逐飞基于瑞萨 RA8 MCU 的语音麦轮小车技术分享 - 小车软硬件说明 [EB/OL]. (2024-03-10)[2025-07-03]. 文中关于使用逐飞 IMU963RA 模块实时获取车模运动过程中的角速度和加速度信息，以及通过 RA8 的 SPI 外设完成高速通信的内容，为本作品 IMU963 陀螺仪的实际应用和通信连接提供实践参考。</w:t>
      </w:r>
    </w:p>
    <w:p w14:paraId="44B0D5DC">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[5] 智能视觉组之逐飞演示车模浅析无 GIF [EB/OL]. (2023-12-18)[2025-07-03]. 该资料介绍了中上部安装 IMU963RA 陀螺仪用于车模姿态计算，以及在姿态控制相关定时器中断中的应用，为作品利用陀螺仪进行车身姿态修正的程序设计提供思路。​</w:t>
      </w:r>
    </w:p>
    <w:p w14:paraId="37F28AC8">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3. 寻声模块（硅麦）及声音处理相关​</w:t>
      </w:r>
    </w:p>
    <w:p w14:paraId="7096D72E">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[6] 基于 FPGA 和麦克风阵列的高速高精度声源定位系统设计 [EB/OL]. 腾讯云开发者社区，(2024-06-25)[2025-07-03]. 文中选用的硅麦型号 SPW0690LM4H - 1，其低失真 / 高 AOP、高信噪比等特性适合本作品声音采集需求，且 PDM 解码采用高阶 fir 滤波器算法对本作品声音信号处理流程有启发。​</w:t>
      </w:r>
    </w:p>
    <w:p w14:paraId="3881D77E">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[7] AIUI R818 麦克阵列开发套件是一款基于多麦克风阵列的完整前端声学软硬件一体化解决方案 [EB/</w:t>
      </w:r>
      <w:bookmarkStart w:id="0" w:name="_GoBack"/>
      <w:r>
        <w:rPr>
          <w:rFonts w:hint="default" w:ascii="Times New Roman" w:hAnsi="Times New Roman" w:eastAsia="宋体" w:cs="Times New Roman"/>
          <w:kern w:val="2"/>
          <w:sz w:val="24"/>
          <w:szCs w:val="24"/>
          <w:lang w:val="en-US" w:eastAsia="zh-CN" w:bidi="ar-SA"/>
        </w:rPr>
        <w:t>OL</w:t>
      </w:r>
      <w:bookmarkEnd w:id="0"/>
      <w:r>
        <w:rPr>
          <w:rFonts w:hint="default" w:ascii="Times New Roman" w:hAnsi="Times New Roman" w:eastAsia="宋体" w:cs="Times New Roman"/>
          <w:kern w:val="2"/>
          <w:sz w:val="24"/>
          <w:szCs w:val="24"/>
          <w:lang w:val="en-US" w:eastAsia="zh-CN" w:bidi="ar-SA"/>
        </w:rPr>
        <w:t>]. (2023-10-12)[2025-07-03]. 该文献中关于麦克风阵列空域滤波特性、定向拾音波束及噪声抑制等内容，为作品声音处理思路提供借鉴。​</w:t>
      </w:r>
    </w:p>
    <w:p w14:paraId="341022F9">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方正黑体_GBK" w:cs="Times New Roman"/>
          <w:sz w:val="32"/>
          <w:szCs w:val="28"/>
        </w:rPr>
      </w:pPr>
      <w:r>
        <w:rPr>
          <w:rFonts w:hint="default" w:ascii="Times New Roman" w:hAnsi="Times New Roman" w:eastAsia="宋体" w:cs="Times New Roman"/>
          <w:kern w:val="2"/>
          <w:sz w:val="24"/>
          <w:szCs w:val="24"/>
          <w:lang w:val="en-US" w:eastAsia="zh-CN" w:bidi="ar-SA"/>
        </w:rPr>
        <w:t>[8]音频信号处理新境界: 快速傅里叶变换应用案例详解 [EB/OL]. CSDN 文库，(2024-04-08)[2025-07-03]. 上述两篇文献深入讲解 FFT 算法原理、在音频信号处理中的应用及实现步骤和优化方法，为作品运用 FFT 算法处理声音信号奠定理论基础。</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黑体_GBK">
    <w:altName w:val="微软雅黑"/>
    <w:panose1 w:val="03000509000000000000"/>
    <w:charset w:val="86"/>
    <w:family w:val="script"/>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 w:name="Segoe UI">
    <w:panose1 w:val="020B0502040204020203"/>
    <w:charset w:val="00"/>
    <w:family w:val="auto"/>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EB19AFE"/>
    <w:multiLevelType w:val="singleLevel"/>
    <w:tmpl w:val="CEB19AFE"/>
    <w:lvl w:ilvl="0" w:tentative="0">
      <w:start w:val="1"/>
      <w:numFmt w:val="decimal"/>
      <w:lvlText w:val="%1."/>
      <w:lvlJc w:val="left"/>
      <w:pPr>
        <w:tabs>
          <w:tab w:val="left" w:pos="312"/>
        </w:tabs>
      </w:pPr>
      <w:rPr>
        <w:rFonts w:hint="default" w:ascii="Times New Roman" w:hAnsi="Times New Roman" w:cs="Times New Roman"/>
      </w:rPr>
    </w:lvl>
  </w:abstractNum>
  <w:abstractNum w:abstractNumId="1">
    <w:nsid w:val="544101FA"/>
    <w:multiLevelType w:val="multilevel"/>
    <w:tmpl w:val="544101FA"/>
    <w:lvl w:ilvl="0" w:tentative="0">
      <w:start w:val="1"/>
      <w:numFmt w:val="japaneseCounting"/>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2IwZjUxOTNiZTM0ZDk4NmU5NTU2NzhlMzQwNzk4NjEifQ=="/>
  </w:docVars>
  <w:rsids>
    <w:rsidRoot w:val="007A2C9C"/>
    <w:rsid w:val="00006ED4"/>
    <w:rsid w:val="001444E9"/>
    <w:rsid w:val="004616D5"/>
    <w:rsid w:val="00673152"/>
    <w:rsid w:val="007A2C9C"/>
    <w:rsid w:val="00AC0BAD"/>
    <w:rsid w:val="00FB39A5"/>
    <w:rsid w:val="043B2EAD"/>
    <w:rsid w:val="04545D1C"/>
    <w:rsid w:val="069074E0"/>
    <w:rsid w:val="079052BE"/>
    <w:rsid w:val="09635510"/>
    <w:rsid w:val="0B246449"/>
    <w:rsid w:val="0E545297"/>
    <w:rsid w:val="12A32349"/>
    <w:rsid w:val="198527A8"/>
    <w:rsid w:val="1B684130"/>
    <w:rsid w:val="1DF47EFC"/>
    <w:rsid w:val="1E7828DC"/>
    <w:rsid w:val="2681079B"/>
    <w:rsid w:val="2B7B1C5D"/>
    <w:rsid w:val="2CB27541"/>
    <w:rsid w:val="2DDB4C35"/>
    <w:rsid w:val="2EC27BA3"/>
    <w:rsid w:val="2F462582"/>
    <w:rsid w:val="2FF67B04"/>
    <w:rsid w:val="30502BE1"/>
    <w:rsid w:val="307D6687"/>
    <w:rsid w:val="32562ADC"/>
    <w:rsid w:val="3321758E"/>
    <w:rsid w:val="3599165E"/>
    <w:rsid w:val="381256F7"/>
    <w:rsid w:val="38EE1CC0"/>
    <w:rsid w:val="38F92413"/>
    <w:rsid w:val="3B9734D2"/>
    <w:rsid w:val="43BB4E95"/>
    <w:rsid w:val="443F7874"/>
    <w:rsid w:val="48AE6D76"/>
    <w:rsid w:val="49DA3B9B"/>
    <w:rsid w:val="517D36E3"/>
    <w:rsid w:val="5E135BA1"/>
    <w:rsid w:val="5EE7567F"/>
    <w:rsid w:val="613A3445"/>
    <w:rsid w:val="626F35C2"/>
    <w:rsid w:val="630F445E"/>
    <w:rsid w:val="659737B5"/>
    <w:rsid w:val="6760172C"/>
    <w:rsid w:val="67A1421E"/>
    <w:rsid w:val="6A8E035E"/>
    <w:rsid w:val="73353A6C"/>
    <w:rsid w:val="769F401E"/>
    <w:rsid w:val="78C55892"/>
    <w:rsid w:val="79021D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heme="minorBidi"/>
      <w:kern w:val="2"/>
      <w:sz w:val="24"/>
      <w:szCs w:val="22"/>
      <w:lang w:val="en-US" w:eastAsia="zh-CN" w:bidi="ar-SA"/>
    </w:rPr>
  </w:style>
  <w:style w:type="character" w:default="1" w:styleId="5">
    <w:name w:val="Default Paragraph Font"/>
    <w:autoRedefine/>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rFonts w:ascii="Times New Roman" w:hAnsi="Times New Roman" w:eastAsia="宋体"/>
      <w:sz w:val="18"/>
      <w:szCs w:val="18"/>
    </w:rPr>
  </w:style>
  <w:style w:type="character" w:customStyle="1" w:styleId="7">
    <w:name w:val="页脚 字符"/>
    <w:basedOn w:val="5"/>
    <w:link w:val="2"/>
    <w:qFormat/>
    <w:uiPriority w:val="99"/>
    <w:rPr>
      <w:rFonts w:ascii="Times New Roman" w:hAnsi="Times New Roman" w:eastAsia="宋体"/>
      <w:sz w:val="18"/>
      <w:szCs w:val="18"/>
    </w:rPr>
  </w:style>
  <w:style w:type="paragraph" w:styleId="8">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339</Words>
  <Characters>354</Characters>
  <Lines>2</Lines>
  <Paragraphs>1</Paragraphs>
  <TotalTime>4</TotalTime>
  <ScaleCrop>false</ScaleCrop>
  <LinksUpToDate>false</LinksUpToDate>
  <CharactersWithSpaces>354</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2023-05-29T07:49:00Z</dcterms:created>
  <dc:creator>jx-AMD</dc:creator>
  <cp:lastModifiedBy>WPS_1661152313</cp:lastModifiedBy>
  <dcterms:modified xsi:type="dcterms:W3CDTF">2025-07-03T07:31:20Z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458A08381B8F4DCC887FCD79EE8C2D6F_12</vt:lpwstr>
  </property>
  <property fmtid="{D5CDD505-2E9C-101B-9397-08002B2CF9AE}" pid="4" name="KSOTemplateDocerSaveRecord">
    <vt:lpwstr>eyJoZGlkIjoiZTA5ZTFiNmE2NDkzMDk1MDIyYzE2ZjFjYjY0NDEzMmQiLCJ1c2VySWQiOiIxNDAyMTkxMTkzIn0=</vt:lpwstr>
  </property>
</Properties>
</file>