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025528">
      <w:pPr>
        <w:jc w:val="center"/>
        <w:rPr>
          <w:rFonts w:hint="eastAsia" w:ascii="方正黑体_GBK" w:eastAsia="方正黑体_GBK"/>
          <w:sz w:val="56"/>
          <w:szCs w:val="52"/>
        </w:rPr>
      </w:pPr>
      <w:r>
        <w:rPr>
          <w:rFonts w:hint="eastAsia" w:ascii="方正黑体_GBK" w:eastAsia="方正黑体_GBK"/>
          <w:sz w:val="56"/>
          <w:szCs w:val="52"/>
        </w:rPr>
        <w:t>安徽省百所高校百万大学生科普</w:t>
      </w:r>
    </w:p>
    <w:p w14:paraId="08AB0A9B">
      <w:pPr>
        <w:jc w:val="center"/>
        <w:rPr>
          <w:rFonts w:hint="eastAsia" w:ascii="方正黑体_GBK" w:eastAsia="方正黑体_GBK"/>
          <w:sz w:val="56"/>
          <w:szCs w:val="52"/>
        </w:rPr>
      </w:pPr>
      <w:r>
        <w:rPr>
          <w:rFonts w:hint="eastAsia" w:ascii="方正黑体_GBK" w:eastAsia="方正黑体_GBK"/>
          <w:sz w:val="56"/>
          <w:szCs w:val="52"/>
        </w:rPr>
        <w:t>创</w:t>
      </w:r>
    </w:p>
    <w:p w14:paraId="54F7B9BB">
      <w:pPr>
        <w:jc w:val="center"/>
        <w:rPr>
          <w:rFonts w:hint="eastAsia" w:ascii="方正黑体_GBK" w:eastAsia="方正黑体_GBK"/>
          <w:sz w:val="56"/>
          <w:szCs w:val="52"/>
        </w:rPr>
      </w:pPr>
      <w:r>
        <w:rPr>
          <w:rFonts w:hint="eastAsia" w:ascii="方正黑体_GBK" w:eastAsia="方正黑体_GBK"/>
          <w:sz w:val="56"/>
          <w:szCs w:val="52"/>
        </w:rPr>
        <w:t>意</w:t>
      </w:r>
    </w:p>
    <w:p w14:paraId="48C926BA">
      <w:pPr>
        <w:jc w:val="center"/>
        <w:rPr>
          <w:rFonts w:hint="eastAsia" w:ascii="方正黑体_GBK" w:eastAsia="方正黑体_GBK"/>
          <w:sz w:val="56"/>
          <w:szCs w:val="52"/>
        </w:rPr>
      </w:pPr>
      <w:r>
        <w:rPr>
          <w:rFonts w:hint="eastAsia" w:ascii="方正黑体_GBK" w:eastAsia="方正黑体_GBK"/>
          <w:sz w:val="56"/>
          <w:szCs w:val="52"/>
        </w:rPr>
        <w:t>创</w:t>
      </w:r>
    </w:p>
    <w:p w14:paraId="31DEC055">
      <w:pPr>
        <w:jc w:val="center"/>
        <w:rPr>
          <w:rFonts w:hint="eastAsia" w:ascii="方正黑体_GBK" w:eastAsia="方正黑体_GBK"/>
          <w:sz w:val="56"/>
          <w:szCs w:val="52"/>
        </w:rPr>
      </w:pPr>
      <w:r>
        <w:rPr>
          <w:rFonts w:hint="eastAsia" w:ascii="方正黑体_GBK" w:eastAsia="方正黑体_GBK"/>
          <w:sz w:val="56"/>
          <w:szCs w:val="52"/>
        </w:rPr>
        <w:t>新</w:t>
      </w:r>
    </w:p>
    <w:p w14:paraId="18546EBE">
      <w:pPr>
        <w:jc w:val="center"/>
        <w:rPr>
          <w:rFonts w:hint="eastAsia" w:ascii="方正黑体_GBK" w:eastAsia="方正黑体_GBK"/>
          <w:sz w:val="56"/>
          <w:szCs w:val="52"/>
        </w:rPr>
      </w:pPr>
      <w:r>
        <w:rPr>
          <w:rFonts w:hint="eastAsia" w:ascii="方正黑体_GBK" w:eastAsia="方正黑体_GBK"/>
          <w:sz w:val="56"/>
          <w:szCs w:val="52"/>
        </w:rPr>
        <w:t>大</w:t>
      </w:r>
    </w:p>
    <w:p w14:paraId="7E9F2041">
      <w:pPr>
        <w:jc w:val="center"/>
        <w:rPr>
          <w:rFonts w:hint="eastAsia" w:ascii="方正黑体_GBK" w:eastAsia="方正黑体_GBK"/>
          <w:sz w:val="56"/>
          <w:szCs w:val="52"/>
        </w:rPr>
      </w:pPr>
      <w:r>
        <w:rPr>
          <w:rFonts w:hint="eastAsia" w:ascii="方正黑体_GBK" w:eastAsia="方正黑体_GBK"/>
          <w:sz w:val="56"/>
          <w:szCs w:val="52"/>
        </w:rPr>
        <w:t>赛</w:t>
      </w:r>
    </w:p>
    <w:p w14:paraId="4A721301">
      <w:pPr>
        <w:jc w:val="center"/>
        <w:rPr>
          <w:rFonts w:hint="eastAsia" w:ascii="方正黑体_GBK" w:eastAsia="方正黑体_GBK"/>
          <w:sz w:val="56"/>
          <w:szCs w:val="52"/>
          <w:lang w:val="en-US" w:eastAsia="zh-CN"/>
        </w:rPr>
      </w:pPr>
      <w:r>
        <w:rPr>
          <w:rFonts w:hint="eastAsia" w:ascii="方正黑体_GBK" w:eastAsia="方正黑体_GBK"/>
          <w:sz w:val="56"/>
          <w:szCs w:val="52"/>
          <w:lang w:val="en-US" w:eastAsia="zh-CN"/>
        </w:rPr>
        <w:t>申</w:t>
      </w:r>
    </w:p>
    <w:p w14:paraId="34E6D79A">
      <w:pPr>
        <w:jc w:val="center"/>
        <w:rPr>
          <w:rFonts w:hint="eastAsia" w:ascii="方正黑体_GBK" w:eastAsia="方正黑体_GBK"/>
          <w:sz w:val="56"/>
          <w:szCs w:val="52"/>
          <w:lang w:val="en-US" w:eastAsia="zh-CN"/>
        </w:rPr>
      </w:pPr>
      <w:r>
        <w:rPr>
          <w:rFonts w:hint="eastAsia" w:ascii="方正黑体_GBK" w:eastAsia="方正黑体_GBK"/>
          <w:sz w:val="56"/>
          <w:szCs w:val="52"/>
          <w:lang w:val="en-US" w:eastAsia="zh-CN"/>
        </w:rPr>
        <w:t>报</w:t>
      </w:r>
    </w:p>
    <w:p w14:paraId="003F0E17">
      <w:pPr>
        <w:jc w:val="center"/>
        <w:rPr>
          <w:rFonts w:hint="eastAsia" w:ascii="方正黑体_GBK" w:eastAsia="方正黑体_GBK"/>
          <w:sz w:val="56"/>
          <w:szCs w:val="52"/>
          <w:lang w:val="en-US" w:eastAsia="zh-CN"/>
        </w:rPr>
      </w:pPr>
      <w:r>
        <w:rPr>
          <w:rFonts w:hint="eastAsia" w:ascii="方正黑体_GBK" w:eastAsia="方正黑体_GBK"/>
          <w:sz w:val="56"/>
          <w:szCs w:val="52"/>
          <w:lang w:val="en-US" w:eastAsia="zh-CN"/>
        </w:rPr>
        <w:t>书</w:t>
      </w:r>
    </w:p>
    <w:p w14:paraId="59228657"/>
    <w:p w14:paraId="6A955E05">
      <w:pPr>
        <w:rPr>
          <w:rFonts w:hint="eastAsia" w:ascii="方正黑体_GBK" w:eastAsia="方正黑体_GBK"/>
          <w:sz w:val="32"/>
          <w:szCs w:val="28"/>
          <w:lang w:eastAsia="zh-CN"/>
        </w:rPr>
      </w:pPr>
      <w:r>
        <w:rPr>
          <w:rFonts w:hint="eastAsia" w:ascii="方正黑体_GBK" w:eastAsia="方正黑体_GBK"/>
          <w:sz w:val="32"/>
          <w:szCs w:val="28"/>
        </w:rPr>
        <w:t>作品名称</w:t>
      </w:r>
      <w:r>
        <w:rPr>
          <w:rFonts w:hint="eastAsia" w:ascii="方正黑体_GBK" w:eastAsia="方正黑体_GBK"/>
          <w:sz w:val="32"/>
          <w:szCs w:val="28"/>
          <w:lang w:eastAsia="zh-CN"/>
        </w:rPr>
        <w:t>：（</w:t>
      </w:r>
      <w:r>
        <w:rPr>
          <w:rFonts w:hint="eastAsia" w:ascii="黑体" w:hAnsi="黑体" w:eastAsia="黑体" w:cs="黑体"/>
          <w:sz w:val="32"/>
          <w:szCs w:val="28"/>
          <w:u w:val="none"/>
          <w:lang w:eastAsia="zh-CN"/>
        </w:rPr>
        <w:t>“</w:t>
      </w:r>
      <w:r>
        <w:rPr>
          <w:rFonts w:hint="eastAsia" w:ascii="黑体" w:hAnsi="黑体" w:eastAsia="黑体" w:cs="黑体"/>
          <w:sz w:val="30"/>
          <w:szCs w:val="30"/>
          <w:u w:val="none"/>
        </w:rPr>
        <w:t>发光</w:t>
      </w:r>
      <w:r>
        <w:rPr>
          <w:rFonts w:hint="eastAsia" w:ascii="黑体" w:hAnsi="黑体" w:eastAsia="黑体" w:cs="黑体"/>
          <w:sz w:val="30"/>
          <w:szCs w:val="30"/>
          <w:u w:val="none"/>
          <w:lang w:eastAsia="zh-CN"/>
        </w:rPr>
        <w:t>”</w:t>
      </w:r>
      <w:r>
        <w:rPr>
          <w:rFonts w:hint="eastAsia" w:ascii="黑体" w:hAnsi="黑体" w:eastAsia="黑体" w:cs="黑体"/>
          <w:sz w:val="30"/>
          <w:szCs w:val="30"/>
          <w:u w:val="none"/>
        </w:rPr>
        <w:t>的隧道风—如何利用地铁隧道风进行发电</w:t>
      </w:r>
      <w:r>
        <w:rPr>
          <w:rFonts w:hint="eastAsia" w:ascii="方正黑体_GBK" w:eastAsia="方正黑体_GBK"/>
          <w:sz w:val="32"/>
          <w:szCs w:val="28"/>
          <w:lang w:eastAsia="zh-CN"/>
        </w:rPr>
        <w:t>）</w:t>
      </w:r>
    </w:p>
    <w:p w14:paraId="3A63A6EC">
      <w:pPr>
        <w:rPr>
          <w:rFonts w:hint="eastAsia" w:ascii="方正黑体_GBK" w:eastAsia="方正黑体_GBK"/>
          <w:sz w:val="32"/>
          <w:szCs w:val="28"/>
          <w:lang w:eastAsia="zh-CN"/>
        </w:rPr>
      </w:pPr>
      <w:r>
        <w:rPr>
          <w:rFonts w:hint="eastAsia" w:ascii="方正黑体_GBK" w:eastAsia="方正黑体_GBK"/>
          <w:sz w:val="32"/>
          <w:szCs w:val="28"/>
        </w:rPr>
        <w:t>参赛</w:t>
      </w:r>
      <w:r>
        <w:rPr>
          <w:rFonts w:hint="eastAsia" w:ascii="方正黑体_GBK" w:eastAsia="方正黑体_GBK"/>
          <w:sz w:val="32"/>
          <w:szCs w:val="28"/>
          <w:lang w:val="en-US" w:eastAsia="zh-CN"/>
        </w:rPr>
        <w:t>大</w:t>
      </w:r>
      <w:r>
        <w:rPr>
          <w:rFonts w:hint="eastAsia" w:ascii="方正黑体_GBK" w:eastAsia="方正黑体_GBK"/>
          <w:sz w:val="32"/>
          <w:szCs w:val="28"/>
        </w:rPr>
        <w:t>分类：</w:t>
      </w:r>
      <w:r>
        <w:rPr>
          <w:rFonts w:hint="eastAsia" w:ascii="方正黑体_GBK" w:eastAsia="方正黑体_GBK"/>
          <w:sz w:val="32"/>
          <w:szCs w:val="28"/>
          <w:lang w:eastAsia="zh-CN"/>
        </w:rPr>
        <w:t>（</w:t>
      </w:r>
      <w:r>
        <w:rPr>
          <w:rFonts w:hint="eastAsia" w:ascii="方正黑体_GBK" w:eastAsia="方正黑体_GBK"/>
          <w:sz w:val="32"/>
          <w:szCs w:val="28"/>
          <w:lang w:val="en-US" w:eastAsia="zh-CN"/>
        </w:rPr>
        <w:t>实体科普作品</w:t>
      </w:r>
      <w:r>
        <w:rPr>
          <w:rFonts w:hint="eastAsia" w:ascii="方正黑体_GBK" w:eastAsia="方正黑体_GBK"/>
          <w:sz w:val="32"/>
          <w:szCs w:val="28"/>
          <w:lang w:eastAsia="zh-CN"/>
        </w:rPr>
        <w:t>）</w:t>
      </w:r>
    </w:p>
    <w:p w14:paraId="52FF28F2">
      <w:pPr>
        <w:rPr>
          <w:rFonts w:hint="eastAsia" w:ascii="方正黑体_GBK" w:eastAsia="方正黑体_GBK"/>
          <w:sz w:val="32"/>
          <w:szCs w:val="28"/>
          <w:lang w:eastAsia="zh-CN"/>
        </w:rPr>
      </w:pPr>
      <w:r>
        <w:rPr>
          <w:rFonts w:hint="eastAsia" w:ascii="方正黑体_GBK" w:eastAsia="方正黑体_GBK"/>
          <w:sz w:val="32"/>
          <w:szCs w:val="28"/>
        </w:rPr>
        <w:t>参赛子分类：</w:t>
      </w:r>
      <w:r>
        <w:rPr>
          <w:rFonts w:hint="eastAsia" w:ascii="方正黑体_GBK" w:eastAsia="方正黑体_GBK"/>
          <w:sz w:val="32"/>
          <w:szCs w:val="28"/>
          <w:lang w:eastAsia="zh-CN"/>
        </w:rPr>
        <w:t>（</w:t>
      </w:r>
      <w:r>
        <w:rPr>
          <w:rFonts w:hint="eastAsia" w:ascii="方正黑体_GBK" w:eastAsia="方正黑体_GBK"/>
          <w:sz w:val="32"/>
          <w:szCs w:val="28"/>
          <w:lang w:val="en-US" w:eastAsia="zh-CN"/>
        </w:rPr>
        <w:t>科普展教品</w:t>
      </w:r>
      <w:r>
        <w:rPr>
          <w:rFonts w:hint="eastAsia" w:ascii="方正黑体_GBK" w:eastAsia="方正黑体_GBK"/>
          <w:sz w:val="32"/>
          <w:szCs w:val="28"/>
          <w:lang w:eastAsia="zh-CN"/>
        </w:rPr>
        <w:t>）</w:t>
      </w:r>
    </w:p>
    <w:p w14:paraId="722B22DB">
      <w:pPr>
        <w:rPr>
          <w:rFonts w:hint="eastAsia" w:ascii="方正黑体_GBK" w:eastAsia="方正黑体_GBK"/>
          <w:sz w:val="32"/>
          <w:szCs w:val="28"/>
          <w:lang w:eastAsia="zh-CN"/>
        </w:rPr>
      </w:pPr>
      <w:r>
        <w:rPr>
          <w:rFonts w:hint="eastAsia" w:ascii="方正黑体_GBK" w:eastAsia="方正黑体_GBK"/>
          <w:color w:val="FF0000"/>
          <w:sz w:val="32"/>
          <w:szCs w:val="28"/>
        </w:rPr>
        <w:t>*</w:t>
      </w:r>
      <w:r>
        <w:rPr>
          <w:rFonts w:hint="eastAsia" w:ascii="方正黑体_GBK" w:eastAsia="方正黑体_GBK"/>
          <w:color w:val="FF0000"/>
          <w:sz w:val="32"/>
          <w:szCs w:val="28"/>
          <w:lang w:val="en-US" w:eastAsia="zh-CN"/>
        </w:rPr>
        <w:t>重要</w:t>
      </w:r>
      <w:r>
        <w:rPr>
          <w:rFonts w:hint="eastAsia" w:ascii="方正黑体_GBK" w:eastAsia="方正黑体_GBK"/>
          <w:color w:val="FF0000"/>
          <w:sz w:val="32"/>
          <w:szCs w:val="28"/>
        </w:rPr>
        <w:t>提示:作品申报文档内不得出现个人(团队</w:t>
      </w:r>
      <w:r>
        <w:rPr>
          <w:rFonts w:ascii="方正黑体_GBK" w:eastAsia="方正黑体_GBK"/>
          <w:color w:val="FF0000"/>
          <w:sz w:val="32"/>
          <w:szCs w:val="28"/>
        </w:rPr>
        <w:t>)</w:t>
      </w:r>
      <w:r>
        <w:rPr>
          <w:rFonts w:hint="eastAsia" w:ascii="方正黑体_GBK" w:eastAsia="方正黑体_GBK"/>
          <w:color w:val="FF0000"/>
          <w:sz w:val="32"/>
          <w:szCs w:val="28"/>
        </w:rPr>
        <w:t>及院校等相关信息</w:t>
      </w:r>
      <w:r>
        <w:rPr>
          <w:rFonts w:hint="eastAsia" w:ascii="方正黑体_GBK" w:eastAsia="方正黑体_GBK"/>
          <w:color w:val="FF0000"/>
          <w:sz w:val="32"/>
          <w:szCs w:val="28"/>
          <w:lang w:eastAsia="zh-CN"/>
        </w:rPr>
        <w:t>，</w:t>
      </w:r>
      <w:r>
        <w:rPr>
          <w:rFonts w:hint="eastAsia" w:ascii="方正黑体_GBK" w:eastAsia="方正黑体_GBK"/>
          <w:color w:val="FF0000"/>
          <w:sz w:val="32"/>
          <w:szCs w:val="28"/>
          <w:lang w:val="en-US" w:eastAsia="zh-CN"/>
        </w:rPr>
        <w:t>含校徽等相关标志标识。文档命名统一采用【作品名称-作品子分类】禁止文件命名时，添加学院和姓名</w:t>
      </w:r>
      <w:r>
        <w:rPr>
          <w:rFonts w:hint="eastAsia" w:ascii="方正黑体_GBK" w:eastAsia="方正黑体_GBK"/>
          <w:color w:val="FF0000"/>
          <w:sz w:val="32"/>
          <w:szCs w:val="28"/>
        </w:rPr>
        <w:t>。</w:t>
      </w:r>
    </w:p>
    <w:p w14:paraId="4ED755AA">
      <w:pPr>
        <w:widowControl/>
        <w:jc w:val="left"/>
      </w:pPr>
      <w:r>
        <w:br w:type="page"/>
      </w:r>
    </w:p>
    <w:p w14:paraId="0AE2BD9A">
      <w:pPr>
        <w:pStyle w:val="10"/>
        <w:numPr>
          <w:ilvl w:val="0"/>
          <w:numId w:val="1"/>
        </w:numPr>
        <w:ind w:firstLineChars="0"/>
        <w:rPr>
          <w:rFonts w:ascii="方正黑体_GBK" w:eastAsia="方正黑体_GBK"/>
          <w:sz w:val="32"/>
          <w:szCs w:val="28"/>
        </w:rPr>
      </w:pPr>
      <w:r>
        <w:rPr>
          <w:rFonts w:hint="eastAsia" w:ascii="方正黑体_GBK" w:eastAsia="方正黑体_GBK"/>
          <w:sz w:val="32"/>
          <w:szCs w:val="28"/>
        </w:rPr>
        <w:t>作品简介</w:t>
      </w:r>
    </w:p>
    <w:p w14:paraId="2F2D02D7">
      <w:pPr>
        <w:keepNext w:val="0"/>
        <w:keepLines w:val="0"/>
        <w:pageBreakBefore w:val="0"/>
        <w:widowControl/>
        <w:suppressLineNumbers w:val="0"/>
        <w:kinsoku/>
        <w:wordWrap/>
        <w:overflowPunct/>
        <w:topLinePunct w:val="0"/>
        <w:autoSpaceDE/>
        <w:autoSpaceDN/>
        <w:bidi w:val="0"/>
        <w:adjustRightInd/>
        <w:snapToGrid/>
        <w:spacing w:line="260" w:lineRule="atLeast"/>
        <w:ind w:firstLine="640" w:firstLineChars="200"/>
        <w:jc w:val="left"/>
        <w:textAlignment w:val="auto"/>
        <w:rPr>
          <w:rFonts w:hint="eastAsia" w:ascii="仿宋_GB2312" w:eastAsia="仿宋_GB2312"/>
          <w:sz w:val="32"/>
          <w:szCs w:val="28"/>
          <w:lang w:eastAsia="zh-CN"/>
        </w:rPr>
      </w:pPr>
      <w:r>
        <w:rPr>
          <w:rFonts w:hint="eastAsia" w:ascii="仿宋_GB2312" w:hAnsi="Times New Roman" w:eastAsia="仿宋_GB2312" w:cstheme="minorBidi"/>
          <w:kern w:val="2"/>
          <w:sz w:val="32"/>
          <w:szCs w:val="28"/>
          <w:lang w:val="en-US" w:eastAsia="zh-CN" w:bidi="ar-SA"/>
        </w:rPr>
        <w:t>由于地铁隧道的环境相对狭长封闭,列车行驶便会形成的活塞风，活塞风的形成会对地铁的排风系统以及地铁站内的安全门产生影响，本团队便设计了一款利用活塞风进行发电的装置,该装置由主发电模块、子发电模块、涡激振动发电模块、和铁轨振动发电模块组成，主发电模块是由萨伏纽斯风轮、可变聚风罩、L型换向器(一级增速器)、发电机、储能装置以及逆变及控制装置组成，子发电模块由涡轮扇叶、减震刹车装置、双向行星增速器、发电机组成，涡激振动发电模块由涡振筒、固定底座、铜线圈、圆柱强磁体、磁性复位装置组成，铁轨振动发电模块由固定底座、铜线圈、复位弹簧、受压板、强磁条组成，该发电装置利用地铁隧道活塞风发电，用于地铁隧道照明、监控等设备，因此消耗活塞风的能量，降低活塞风的危害，而且当地铁隧道发生火灾时，子发电装置便会切换为消防通风模式进行消防通风。</w:t>
      </w:r>
    </w:p>
    <w:p w14:paraId="255D334A">
      <w:pPr>
        <w:pStyle w:val="10"/>
        <w:numPr>
          <w:ilvl w:val="0"/>
          <w:numId w:val="1"/>
        </w:numPr>
        <w:ind w:left="720" w:leftChars="0" w:hanging="720" w:firstLineChars="0"/>
        <w:rPr>
          <w:rFonts w:hint="eastAsia" w:ascii="方正黑体_GBK" w:eastAsia="方正黑体_GBK"/>
          <w:sz w:val="32"/>
          <w:szCs w:val="28"/>
          <w:lang w:val="en-US" w:eastAsia="zh-CN"/>
        </w:rPr>
      </w:pPr>
      <w:r>
        <w:rPr>
          <w:rFonts w:hint="eastAsia" w:ascii="方正黑体_GBK" w:eastAsia="方正黑体_GBK"/>
          <w:sz w:val="32"/>
          <w:szCs w:val="28"/>
          <w:lang w:val="en-US" w:eastAsia="zh-CN"/>
        </w:rPr>
        <w:t>作品代表展示图</w:t>
      </w:r>
    </w:p>
    <w:p w14:paraId="4D36FE77">
      <w:pPr>
        <w:pStyle w:val="10"/>
        <w:ind w:left="720" w:firstLine="0" w:firstLineChars="0"/>
        <w:rPr>
          <w:rFonts w:hint="eastAsia" w:ascii="仿宋_GB2312" w:eastAsia="仿宋_GB2312"/>
          <w:sz w:val="32"/>
          <w:szCs w:val="28"/>
          <w:lang w:val="en-US" w:eastAsia="zh-CN"/>
        </w:rPr>
      </w:pPr>
      <w:r>
        <w:rPr>
          <w:rFonts w:hint="eastAsia" w:ascii="仿宋_GB2312" w:eastAsia="仿宋_GB2312"/>
          <w:sz w:val="32"/>
          <w:szCs w:val="28"/>
          <w:lang w:val="en-US" w:eastAsia="zh-CN"/>
        </w:rPr>
        <w:drawing>
          <wp:inline distT="0" distB="0" distL="114300" distR="114300">
            <wp:extent cx="2541905" cy="1982470"/>
            <wp:effectExtent l="0" t="0" r="10795" b="11430"/>
            <wp:docPr id="2" name="图片 2" descr="封面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封面图"/>
                    <pic:cNvPicPr>
                      <a:picLocks noChangeAspect="1"/>
                    </pic:cNvPicPr>
                  </pic:nvPicPr>
                  <pic:blipFill>
                    <a:blip r:embed="rId4"/>
                    <a:stretch>
                      <a:fillRect/>
                    </a:stretch>
                  </pic:blipFill>
                  <pic:spPr>
                    <a:xfrm>
                      <a:off x="0" y="0"/>
                      <a:ext cx="2541905" cy="1982470"/>
                    </a:xfrm>
                    <a:prstGeom prst="rect">
                      <a:avLst/>
                    </a:prstGeom>
                  </pic:spPr>
                </pic:pic>
              </a:graphicData>
            </a:graphic>
          </wp:inline>
        </w:drawing>
      </w:r>
      <w:r>
        <w:rPr>
          <w:rFonts w:hint="eastAsia" w:ascii="仿宋_GB2312" w:eastAsia="仿宋_GB2312"/>
          <w:sz w:val="32"/>
          <w:szCs w:val="28"/>
          <w:lang w:val="en-US" w:eastAsia="zh-CN"/>
        </w:rPr>
        <w:drawing>
          <wp:inline distT="0" distB="0" distL="114300" distR="114300">
            <wp:extent cx="2221865" cy="1943100"/>
            <wp:effectExtent l="0" t="0" r="635" b="0"/>
            <wp:docPr id="3" name="图片 3" descr="实物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实物图"/>
                    <pic:cNvPicPr>
                      <a:picLocks noChangeAspect="1"/>
                    </pic:cNvPicPr>
                  </pic:nvPicPr>
                  <pic:blipFill>
                    <a:blip r:embed="rId5"/>
                    <a:stretch>
                      <a:fillRect/>
                    </a:stretch>
                  </pic:blipFill>
                  <pic:spPr>
                    <a:xfrm>
                      <a:off x="0" y="0"/>
                      <a:ext cx="2221865" cy="1943100"/>
                    </a:xfrm>
                    <a:prstGeom prst="rect">
                      <a:avLst/>
                    </a:prstGeom>
                  </pic:spPr>
                </pic:pic>
              </a:graphicData>
            </a:graphic>
          </wp:inline>
        </w:drawing>
      </w:r>
    </w:p>
    <w:p w14:paraId="1F09F992">
      <w:pPr>
        <w:pStyle w:val="10"/>
        <w:ind w:left="720" w:firstLine="1120" w:firstLineChars="400"/>
        <w:rPr>
          <w:rFonts w:hint="eastAsia" w:ascii="宋体" w:hAnsi="宋体" w:cs="宋体"/>
          <w:sz w:val="28"/>
          <w:szCs w:val="28"/>
          <w:lang w:val="en-US" w:eastAsia="zh-CN"/>
        </w:rPr>
      </w:pPr>
      <w:r>
        <w:rPr>
          <w:rFonts w:hint="eastAsia" w:ascii="宋体" w:hAnsi="宋体" w:eastAsia="宋体" w:cs="宋体"/>
          <w:sz w:val="28"/>
          <w:szCs w:val="28"/>
          <w:lang w:val="en-US" w:eastAsia="zh-CN"/>
        </w:rPr>
        <w:t>安装示意图</w:t>
      </w:r>
      <w:r>
        <w:rPr>
          <w:rFonts w:hint="eastAsia" w:ascii="宋体" w:hAnsi="宋体" w:cs="宋体"/>
          <w:sz w:val="28"/>
          <w:szCs w:val="28"/>
          <w:lang w:val="en-US" w:eastAsia="zh-CN"/>
        </w:rPr>
        <w:t xml:space="preserve">                    实物搭建</w:t>
      </w:r>
    </w:p>
    <w:p w14:paraId="51F56A18">
      <w:pPr>
        <w:pStyle w:val="10"/>
        <w:ind w:left="0" w:leftChars="0" w:firstLine="0" w:firstLineChars="0"/>
        <w:jc w:val="left"/>
        <w:rPr>
          <w:rFonts w:hint="default" w:ascii="宋体" w:hAnsi="宋体" w:cs="宋体"/>
          <w:sz w:val="28"/>
          <w:szCs w:val="28"/>
          <w:lang w:val="en-US" w:eastAsia="zh-CN"/>
        </w:rPr>
      </w:pPr>
      <w:r>
        <w:rPr>
          <w:rFonts w:hint="eastAsia" w:ascii="宋体" w:hAnsi="宋体" w:cs="宋体"/>
          <w:sz w:val="28"/>
          <w:szCs w:val="28"/>
          <w:lang w:val="en-US" w:eastAsia="zh-CN"/>
        </w:rPr>
        <w:t xml:space="preserve">   </w:t>
      </w:r>
      <w:r>
        <w:rPr>
          <w:rFonts w:hint="default" w:ascii="宋体" w:hAnsi="宋体" w:cs="宋体"/>
          <w:sz w:val="28"/>
          <w:szCs w:val="28"/>
          <w:lang w:val="en-US" w:eastAsia="zh-CN"/>
        </w:rPr>
        <w:drawing>
          <wp:inline distT="0" distB="0" distL="114300" distR="114300">
            <wp:extent cx="2324735" cy="2060575"/>
            <wp:effectExtent l="0" t="0" r="12065" b="9525"/>
            <wp:docPr id="4" name="图片 4" descr="实物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实物图片2"/>
                    <pic:cNvPicPr>
                      <a:picLocks noChangeAspect="1"/>
                    </pic:cNvPicPr>
                  </pic:nvPicPr>
                  <pic:blipFill>
                    <a:blip r:embed="rId6"/>
                    <a:stretch>
                      <a:fillRect/>
                    </a:stretch>
                  </pic:blipFill>
                  <pic:spPr>
                    <a:xfrm>
                      <a:off x="0" y="0"/>
                      <a:ext cx="2324735" cy="2060575"/>
                    </a:xfrm>
                    <a:prstGeom prst="rect">
                      <a:avLst/>
                    </a:prstGeom>
                  </pic:spPr>
                </pic:pic>
              </a:graphicData>
            </a:graphic>
          </wp:inline>
        </w:drawing>
      </w:r>
      <w:r>
        <w:rPr>
          <w:rFonts w:hint="eastAsia" w:ascii="宋体" w:hAnsi="宋体" w:cs="宋体"/>
          <w:sz w:val="28"/>
          <w:szCs w:val="28"/>
          <w:lang w:val="en-US" w:eastAsia="zh-CN"/>
        </w:rPr>
        <w:t xml:space="preserve">  </w:t>
      </w:r>
      <w:r>
        <w:rPr>
          <w:rFonts w:hint="default" w:ascii="宋体" w:hAnsi="宋体" w:cs="宋体"/>
          <w:sz w:val="28"/>
          <w:szCs w:val="28"/>
          <w:lang w:val="en-US" w:eastAsia="zh-CN"/>
        </w:rPr>
        <w:drawing>
          <wp:inline distT="0" distB="0" distL="114300" distR="114300">
            <wp:extent cx="2433320" cy="2074545"/>
            <wp:effectExtent l="0" t="0" r="5080" b="8255"/>
            <wp:docPr id="5" name="图片 5" descr="实物制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实物制作"/>
                    <pic:cNvPicPr>
                      <a:picLocks noChangeAspect="1"/>
                    </pic:cNvPicPr>
                  </pic:nvPicPr>
                  <pic:blipFill>
                    <a:blip r:embed="rId7"/>
                    <a:stretch>
                      <a:fillRect/>
                    </a:stretch>
                  </pic:blipFill>
                  <pic:spPr>
                    <a:xfrm>
                      <a:off x="0" y="0"/>
                      <a:ext cx="2433320" cy="2074545"/>
                    </a:xfrm>
                    <a:prstGeom prst="rect">
                      <a:avLst/>
                    </a:prstGeom>
                  </pic:spPr>
                </pic:pic>
              </a:graphicData>
            </a:graphic>
          </wp:inline>
        </w:drawing>
      </w:r>
    </w:p>
    <w:p w14:paraId="2BC43F97">
      <w:pPr>
        <w:pStyle w:val="10"/>
        <w:ind w:left="0" w:leftChars="0" w:firstLine="1400" w:firstLineChars="500"/>
        <w:rPr>
          <w:rFonts w:hint="default" w:ascii="宋体" w:hAnsi="宋体" w:cs="宋体"/>
          <w:sz w:val="28"/>
          <w:szCs w:val="28"/>
          <w:lang w:val="en-US" w:eastAsia="zh-CN"/>
        </w:rPr>
      </w:pPr>
      <w:r>
        <w:rPr>
          <w:rFonts w:hint="eastAsia" w:ascii="宋体" w:hAnsi="宋体" w:cs="宋体"/>
          <w:sz w:val="28"/>
          <w:szCs w:val="28"/>
          <w:lang w:val="en-US" w:eastAsia="zh-CN"/>
        </w:rPr>
        <w:t>实物模型搭建                     实验验证</w:t>
      </w:r>
    </w:p>
    <w:p w14:paraId="238B5CD7">
      <w:pPr>
        <w:pStyle w:val="10"/>
        <w:ind w:left="0" w:leftChars="0" w:firstLine="0" w:firstLineChars="0"/>
        <w:jc w:val="center"/>
        <w:rPr>
          <w:rFonts w:hint="default" w:ascii="宋体" w:hAnsi="宋体" w:cs="宋体"/>
          <w:sz w:val="28"/>
          <w:szCs w:val="28"/>
          <w:lang w:val="en-US" w:eastAsia="zh-CN"/>
        </w:rPr>
      </w:pPr>
      <w:r>
        <w:rPr>
          <w:rFonts w:hint="default" w:ascii="宋体" w:hAnsi="宋体" w:cs="宋体"/>
          <w:sz w:val="28"/>
          <w:szCs w:val="28"/>
          <w:lang w:val="en-US" w:eastAsia="zh-CN"/>
        </w:rPr>
        <w:drawing>
          <wp:inline distT="0" distB="0" distL="114300" distR="114300">
            <wp:extent cx="2461895" cy="2051050"/>
            <wp:effectExtent l="0" t="0" r="1905" b="6350"/>
            <wp:docPr id="6" name="图片 6" descr="实物理论数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实物理论数值"/>
                    <pic:cNvPicPr>
                      <a:picLocks noChangeAspect="1"/>
                    </pic:cNvPicPr>
                  </pic:nvPicPr>
                  <pic:blipFill>
                    <a:blip r:embed="rId8"/>
                    <a:stretch>
                      <a:fillRect/>
                    </a:stretch>
                  </pic:blipFill>
                  <pic:spPr>
                    <a:xfrm>
                      <a:off x="0" y="0"/>
                      <a:ext cx="2461895" cy="2051050"/>
                    </a:xfrm>
                    <a:prstGeom prst="rect">
                      <a:avLst/>
                    </a:prstGeom>
                  </pic:spPr>
                </pic:pic>
              </a:graphicData>
            </a:graphic>
          </wp:inline>
        </w:drawing>
      </w:r>
    </w:p>
    <w:p w14:paraId="51866CA4">
      <w:pPr>
        <w:pStyle w:val="10"/>
        <w:ind w:left="0" w:leftChars="0" w:firstLine="280" w:firstLineChars="100"/>
        <w:rPr>
          <w:rFonts w:hint="default" w:ascii="宋体" w:hAnsi="宋体" w:cs="宋体"/>
          <w:sz w:val="28"/>
          <w:szCs w:val="28"/>
          <w:lang w:val="en-US" w:eastAsia="zh-CN"/>
        </w:rPr>
      </w:pPr>
      <w:r>
        <w:rPr>
          <w:rFonts w:hint="eastAsia" w:ascii="宋体" w:hAnsi="宋体" w:cs="宋体"/>
          <w:sz w:val="28"/>
          <w:szCs w:val="28"/>
          <w:lang w:val="en-US" w:eastAsia="zh-CN"/>
        </w:rPr>
        <w:t xml:space="preserve">                        数据采集</w:t>
      </w:r>
    </w:p>
    <w:p w14:paraId="040C1806">
      <w:pPr>
        <w:pStyle w:val="10"/>
        <w:numPr>
          <w:ilvl w:val="0"/>
          <w:numId w:val="1"/>
        </w:numPr>
        <w:ind w:firstLineChars="0"/>
        <w:rPr>
          <w:rFonts w:ascii="方正黑体_GBK" w:eastAsia="方正黑体_GBK"/>
          <w:sz w:val="32"/>
          <w:szCs w:val="28"/>
        </w:rPr>
      </w:pPr>
      <w:r>
        <w:rPr>
          <w:rFonts w:hint="eastAsia" w:ascii="方正黑体_GBK" w:eastAsia="方正黑体_GBK"/>
          <w:sz w:val="32"/>
          <w:szCs w:val="28"/>
        </w:rPr>
        <w:t>选题确定</w:t>
      </w:r>
    </w:p>
    <w:p w14:paraId="1F999135">
      <w:pPr>
        <w:keepNext w:val="0"/>
        <w:keepLines w:val="0"/>
        <w:pageBreakBefore w:val="0"/>
        <w:widowControl/>
        <w:suppressLineNumbers w:val="0"/>
        <w:kinsoku/>
        <w:wordWrap/>
        <w:overflowPunct/>
        <w:topLinePunct w:val="0"/>
        <w:autoSpaceDE/>
        <w:autoSpaceDN/>
        <w:bidi w:val="0"/>
        <w:adjustRightInd/>
        <w:snapToGrid/>
        <w:spacing w:line="260" w:lineRule="atLeast"/>
        <w:ind w:firstLine="640" w:firstLineChars="200"/>
        <w:jc w:val="left"/>
        <w:textAlignment w:val="auto"/>
        <w:rPr>
          <w:rFonts w:hint="eastAsia" w:ascii="仿宋_GB2312" w:hAnsi="Times New Roman" w:eastAsia="仿宋_GB2312" w:cstheme="minorBidi"/>
          <w:kern w:val="2"/>
          <w:sz w:val="32"/>
          <w:szCs w:val="28"/>
          <w:lang w:val="en-US" w:eastAsia="zh-CN" w:bidi="ar-SA"/>
        </w:rPr>
      </w:pPr>
      <w:r>
        <w:rPr>
          <w:rFonts w:hint="eastAsia" w:ascii="仿宋_GB2312" w:hAnsi="Times New Roman" w:eastAsia="仿宋_GB2312" w:cstheme="minorBidi"/>
          <w:kern w:val="2"/>
          <w:sz w:val="32"/>
          <w:szCs w:val="28"/>
          <w:lang w:val="en-US" w:eastAsia="zh-CN" w:bidi="ar-SA"/>
        </w:rPr>
        <w:t>我的选题是基于</w:t>
      </w:r>
      <w:r>
        <w:rPr>
          <w:rFonts w:hint="eastAsia" w:ascii="仿宋_GB2312" w:hAnsi="Times New Roman" w:eastAsia="仿宋_GB2312" w:cstheme="minorBidi"/>
          <w:kern w:val="2"/>
          <w:sz w:val="32"/>
          <w:szCs w:val="28"/>
          <w:lang w:val="zh-CN" w:eastAsia="zh-CN" w:bidi="ar-SA"/>
        </w:rPr>
        <w:t>城市化进程的加速，地铁作为高效的公共交通方式被广泛建设。然而在运行过程中，列车穿梭于隧道产生的活塞风现象却常常被忽视。这种由列车高速行驶引起的空气流动，如同未被利用的能量宝藏。此外隧道中可能出现的火灾情况现有技术无法做到早期预警。基于此一种创新的发明</w:t>
      </w:r>
      <w:r>
        <w:rPr>
          <w:rFonts w:hint="default" w:ascii="仿宋_GB2312" w:hAnsi="Times New Roman" w:eastAsia="仿宋_GB2312" w:cstheme="minorBidi"/>
          <w:kern w:val="2"/>
          <w:sz w:val="32"/>
          <w:szCs w:val="28"/>
          <w:lang w:val="zh-CN" w:eastAsia="zh-CN" w:bidi="ar-SA"/>
        </w:rPr>
        <w:t>——</w:t>
      </w:r>
      <w:r>
        <w:rPr>
          <w:rFonts w:hint="eastAsia" w:ascii="仿宋_GB2312" w:hAnsi="Times New Roman" w:eastAsia="仿宋_GB2312" w:cstheme="minorBidi"/>
          <w:kern w:val="2"/>
          <w:sz w:val="32"/>
          <w:szCs w:val="28"/>
          <w:lang w:val="zh-CN" w:eastAsia="zh-CN" w:bidi="ar-SA"/>
        </w:rPr>
        <w:t>利用地铁隧道活塞风发电及隧道火灾早期预警装置应运而生。</w:t>
      </w:r>
    </w:p>
    <w:p w14:paraId="46C0DA7A">
      <w:pPr>
        <w:pStyle w:val="10"/>
        <w:numPr>
          <w:ilvl w:val="0"/>
          <w:numId w:val="1"/>
        </w:numPr>
        <w:ind w:firstLineChars="0"/>
        <w:rPr>
          <w:rFonts w:ascii="方正黑体_GBK" w:eastAsia="方正黑体_GBK"/>
          <w:sz w:val="32"/>
          <w:szCs w:val="28"/>
        </w:rPr>
      </w:pPr>
      <w:r>
        <w:rPr>
          <w:rFonts w:hint="eastAsia" w:ascii="方正黑体_GBK" w:eastAsia="方正黑体_GBK"/>
          <w:sz w:val="32"/>
          <w:szCs w:val="28"/>
        </w:rPr>
        <w:t>科学原理及方法</w:t>
      </w:r>
    </w:p>
    <w:p w14:paraId="40E3DB84">
      <w:pPr>
        <w:pStyle w:val="10"/>
        <w:ind w:left="0" w:leftChars="0" w:firstLine="0" w:firstLineChars="0"/>
        <w:rPr>
          <w:rFonts w:hint="eastAsia" w:ascii="仿宋_GB2312" w:eastAsia="仿宋_GB2312"/>
          <w:sz w:val="32"/>
          <w:szCs w:val="28"/>
        </w:rPr>
      </w:pPr>
      <w:r>
        <w:rPr>
          <w:rFonts w:hint="eastAsia" w:ascii="仿宋_GB2312" w:eastAsia="仿宋_GB2312"/>
          <w:sz w:val="32"/>
          <w:szCs w:val="28"/>
        </w:rPr>
        <w:t>本作品展示的科学原理</w:t>
      </w:r>
    </w:p>
    <w:p w14:paraId="16B7B469">
      <w:pPr>
        <w:pStyle w:val="10"/>
        <w:rPr>
          <w:rFonts w:hint="eastAsia" w:ascii="仿宋_GB2312" w:hAnsi="Times New Roman" w:eastAsia="仿宋_GB2312"/>
          <w:sz w:val="32"/>
          <w:szCs w:val="28"/>
          <w:lang w:eastAsia="zh-CN"/>
        </w:rPr>
      </w:pPr>
      <w:r>
        <w:rPr>
          <w:rFonts w:hint="eastAsia" w:ascii="仿宋_GB2312" w:eastAsia="仿宋_GB2312"/>
          <w:sz w:val="32"/>
          <w:szCs w:val="28"/>
          <w:lang w:val="en-US" w:eastAsia="zh-CN"/>
        </w:rPr>
        <w:t>本作品的科学原理为流体力学中的伯努利定律、连续性方程以及动量守恒定律，</w:t>
      </w:r>
      <w:r>
        <w:rPr>
          <w:rFonts w:hint="eastAsia" w:ascii="仿宋_GB2312" w:hAnsi="Times New Roman" w:eastAsia="仿宋_GB2312"/>
          <w:sz w:val="32"/>
          <w:szCs w:val="28"/>
        </w:rPr>
        <w:t>当列车在隧道中高速运行时，由于列车与空气之间的相对运动，会在列车前方形成正压波，后方形成负压波。这些压力波会迅速传播，使得隧道内的空气被推动并产生高速流动，从而形成所谓的活塞风</w:t>
      </w:r>
      <w:r>
        <w:rPr>
          <w:rFonts w:hint="eastAsia" w:ascii="仿宋_GB2312" w:hAnsi="Times New Roman" w:eastAsia="仿宋_GB2312"/>
          <w:sz w:val="32"/>
          <w:szCs w:val="28"/>
          <w:lang w:eastAsia="zh-CN"/>
        </w:rPr>
        <w:t>。</w:t>
      </w:r>
    </w:p>
    <w:p w14:paraId="647FB98F">
      <w:pPr>
        <w:pStyle w:val="10"/>
        <w:ind w:left="0" w:leftChars="0" w:firstLine="0" w:firstLineChars="0"/>
        <w:rPr>
          <w:rFonts w:hint="eastAsia" w:ascii="仿宋_GB2312" w:hAnsi="Times New Roman" w:eastAsia="仿宋_GB2312"/>
          <w:sz w:val="32"/>
          <w:szCs w:val="28"/>
        </w:rPr>
      </w:pPr>
      <w:r>
        <w:rPr>
          <w:rFonts w:hint="eastAsia" w:ascii="仿宋_GB2312" w:hAnsi="Times New Roman" w:eastAsia="仿宋_GB2312"/>
          <w:sz w:val="32"/>
          <w:szCs w:val="28"/>
        </w:rPr>
        <w:t>本作品运用的科学方法有</w:t>
      </w:r>
    </w:p>
    <w:p w14:paraId="68DE55BE">
      <w:pPr>
        <w:pStyle w:val="10"/>
        <w:numPr>
          <w:ilvl w:val="0"/>
          <w:numId w:val="0"/>
        </w:numPr>
        <w:ind w:firstLine="420" w:firstLineChars="0"/>
        <w:rPr>
          <w:rFonts w:hint="eastAsia" w:ascii="仿宋_GB2312" w:hAnsi="Times New Roman" w:eastAsia="仿宋_GB2312"/>
          <w:sz w:val="32"/>
          <w:szCs w:val="28"/>
          <w:lang w:val="en-US" w:eastAsia="zh-CN"/>
        </w:rPr>
      </w:pPr>
      <w:r>
        <w:rPr>
          <w:rFonts w:hint="eastAsia" w:ascii="仿宋_GB2312" w:hAnsi="Times New Roman" w:eastAsia="仿宋_GB2312"/>
          <w:sz w:val="32"/>
          <w:szCs w:val="28"/>
          <w:lang w:val="en-US" w:eastAsia="zh-CN"/>
        </w:rPr>
        <w:t>1、采用可变聚风罩：本作品的主发电模块为垂直轴风力发电机，因此采用了可变聚风罩用于提高主发电模块的效率，在子发电模块进行消防排烟时也可以避免影响排烟的效率。</w:t>
      </w:r>
    </w:p>
    <w:p w14:paraId="49D007E7">
      <w:pPr>
        <w:pStyle w:val="10"/>
        <w:numPr>
          <w:ilvl w:val="0"/>
          <w:numId w:val="0"/>
        </w:numPr>
        <w:ind w:firstLine="420" w:firstLineChars="0"/>
        <w:rPr>
          <w:rFonts w:hint="eastAsia" w:ascii="仿宋_GB2312" w:hAnsi="Times New Roman" w:eastAsia="仿宋_GB2312"/>
          <w:sz w:val="32"/>
          <w:szCs w:val="28"/>
          <w:lang w:val="en-US" w:eastAsia="zh-CN"/>
        </w:rPr>
      </w:pPr>
      <w:r>
        <w:rPr>
          <w:rFonts w:hint="eastAsia" w:ascii="仿宋_GB2312" w:hAnsi="Times New Roman" w:eastAsia="仿宋_GB2312"/>
          <w:sz w:val="32"/>
          <w:szCs w:val="28"/>
          <w:lang w:val="en-US" w:eastAsia="zh-CN"/>
        </w:rPr>
        <w:t>2、采用双向行星增速器：子发电模块采用了双向行星增速系统，该装置在发电时由行星轮系进行增速以提高发电效率，在进行消防排烟时又可以进行反向等速排烟。</w:t>
      </w:r>
    </w:p>
    <w:p w14:paraId="53C2ED75">
      <w:pPr>
        <w:pStyle w:val="10"/>
        <w:numPr>
          <w:ilvl w:val="0"/>
          <w:numId w:val="0"/>
        </w:numPr>
        <w:ind w:firstLine="420" w:firstLineChars="0"/>
        <w:rPr>
          <w:rFonts w:hint="eastAsia" w:ascii="仿宋_GB2312" w:eastAsia="仿宋_GB2312"/>
          <w:sz w:val="32"/>
          <w:szCs w:val="28"/>
        </w:rPr>
      </w:pPr>
      <w:r>
        <w:rPr>
          <w:rFonts w:hint="eastAsia" w:ascii="仿宋_GB2312" w:hAnsi="Times New Roman" w:eastAsia="仿宋_GB2312"/>
          <w:sz w:val="32"/>
          <w:szCs w:val="28"/>
          <w:lang w:val="en-US" w:eastAsia="zh-CN"/>
        </w:rPr>
        <w:t>3、采用涡激振动原理：在当地铁在运行时，底部会产生乱流，该装置采用涡激振动原理，底部乱流会推动涡振筒发生摆动，涡振筒内装有电磁复位装置以及线圈和永磁体，线圈会随涡振筒往返摆动，永磁体固定在底座上，此时线圈便会切割磁感线进行发电。</w:t>
      </w:r>
    </w:p>
    <w:p w14:paraId="22EC5D1E">
      <w:pPr>
        <w:pStyle w:val="10"/>
        <w:numPr>
          <w:ilvl w:val="0"/>
          <w:numId w:val="1"/>
        </w:numPr>
        <w:ind w:firstLineChars="0"/>
        <w:rPr>
          <w:rFonts w:ascii="方正黑体_GBK" w:eastAsia="方正黑体_GBK"/>
          <w:sz w:val="32"/>
          <w:szCs w:val="28"/>
        </w:rPr>
      </w:pPr>
      <w:r>
        <w:rPr>
          <w:rFonts w:hint="eastAsia" w:ascii="方正黑体_GBK" w:eastAsia="方正黑体_GBK"/>
          <w:sz w:val="32"/>
          <w:szCs w:val="28"/>
        </w:rPr>
        <w:t>目的和思路</w:t>
      </w:r>
    </w:p>
    <w:p w14:paraId="17EA0D8F">
      <w:pPr>
        <w:pStyle w:val="10"/>
        <w:ind w:left="0" w:leftChars="0" w:firstLine="0" w:firstLineChars="0"/>
        <w:rPr>
          <w:rFonts w:hint="eastAsia" w:ascii="仿宋_GB2312" w:eastAsia="仿宋_GB2312"/>
          <w:sz w:val="32"/>
          <w:szCs w:val="28"/>
        </w:rPr>
      </w:pPr>
      <w:r>
        <w:rPr>
          <w:rFonts w:hint="eastAsia" w:ascii="仿宋_GB2312" w:eastAsia="仿宋_GB2312"/>
          <w:sz w:val="32"/>
          <w:szCs w:val="28"/>
        </w:rPr>
        <w:t>创作本作品的目的</w:t>
      </w:r>
    </w:p>
    <w:p w14:paraId="54D42B8D">
      <w:pPr>
        <w:keepNext w:val="0"/>
        <w:keepLines w:val="0"/>
        <w:pageBreakBefore w:val="0"/>
        <w:widowControl w:val="0"/>
        <w:kinsoku/>
        <w:wordWrap/>
        <w:overflowPunct/>
        <w:topLinePunct w:val="0"/>
        <w:autoSpaceDE/>
        <w:autoSpaceDN/>
        <w:bidi w:val="0"/>
        <w:adjustRightInd/>
        <w:snapToGrid/>
        <w:spacing w:line="480" w:lineRule="exact"/>
        <w:ind w:firstLine="640" w:firstLineChars="200"/>
        <w:jc w:val="left"/>
        <w:textAlignment w:val="auto"/>
        <w:rPr>
          <w:rFonts w:hint="eastAsia" w:ascii="仿宋_GB2312" w:hAnsi="Times New Roman" w:eastAsia="仿宋_GB2312" w:cstheme="minorBidi"/>
          <w:kern w:val="2"/>
          <w:sz w:val="32"/>
          <w:szCs w:val="28"/>
          <w:lang w:val="en-US" w:eastAsia="zh-CN" w:bidi="ar-SA"/>
        </w:rPr>
      </w:pPr>
      <w:r>
        <w:rPr>
          <w:rFonts w:hint="eastAsia" w:ascii="仿宋_GB2312" w:hAnsi="Times New Roman" w:eastAsia="仿宋_GB2312" w:cstheme="minorBidi"/>
          <w:kern w:val="2"/>
          <w:sz w:val="32"/>
          <w:szCs w:val="28"/>
          <w:lang w:val="en-US" w:eastAsia="zh-CN" w:bidi="ar-SA"/>
        </w:rPr>
        <w:t>1.节能减排：地铁隧道发电装置能够有效减少化石燃料的使用，降低碳排放，有助于实现碳达峰和碳中和的目标。</w:t>
      </w:r>
    </w:p>
    <w:p w14:paraId="389E939F">
      <w:pPr>
        <w:keepNext w:val="0"/>
        <w:keepLines w:val="0"/>
        <w:pageBreakBefore w:val="0"/>
        <w:widowControl w:val="0"/>
        <w:kinsoku/>
        <w:wordWrap/>
        <w:overflowPunct/>
        <w:topLinePunct w:val="0"/>
        <w:autoSpaceDE/>
        <w:autoSpaceDN/>
        <w:bidi w:val="0"/>
        <w:adjustRightInd/>
        <w:snapToGrid/>
        <w:spacing w:line="480" w:lineRule="exact"/>
        <w:ind w:firstLine="640" w:firstLineChars="200"/>
        <w:jc w:val="left"/>
        <w:textAlignment w:val="auto"/>
        <w:rPr>
          <w:rFonts w:hint="eastAsia" w:ascii="仿宋_GB2312" w:hAnsi="Times New Roman" w:eastAsia="仿宋_GB2312" w:cstheme="minorBidi"/>
          <w:kern w:val="2"/>
          <w:sz w:val="32"/>
          <w:szCs w:val="28"/>
          <w:lang w:val="en-US" w:eastAsia="zh-CN" w:bidi="ar-SA"/>
        </w:rPr>
      </w:pPr>
      <w:r>
        <w:rPr>
          <w:rFonts w:hint="eastAsia" w:ascii="仿宋_GB2312" w:hAnsi="Times New Roman" w:eastAsia="仿宋_GB2312" w:cstheme="minorBidi"/>
          <w:kern w:val="2"/>
          <w:sz w:val="32"/>
          <w:szCs w:val="28"/>
          <w:lang w:val="en-US" w:eastAsia="zh-CN" w:bidi="ar-SA"/>
        </w:rPr>
        <w:t>2.经济效果：通过自产自用电能，可以减少电费支出，尤其是在电价较高的地区，经济效益更为显著。</w:t>
      </w:r>
    </w:p>
    <w:p w14:paraId="7F4C7241">
      <w:pPr>
        <w:keepNext w:val="0"/>
        <w:keepLines w:val="0"/>
        <w:pageBreakBefore w:val="0"/>
        <w:widowControl w:val="0"/>
        <w:kinsoku/>
        <w:wordWrap/>
        <w:overflowPunct/>
        <w:topLinePunct w:val="0"/>
        <w:autoSpaceDE/>
        <w:autoSpaceDN/>
        <w:bidi w:val="0"/>
        <w:adjustRightInd/>
        <w:snapToGrid/>
        <w:spacing w:line="480" w:lineRule="exact"/>
        <w:ind w:firstLine="640" w:firstLineChars="200"/>
        <w:jc w:val="left"/>
        <w:textAlignment w:val="auto"/>
        <w:rPr>
          <w:rFonts w:hint="eastAsia" w:ascii="仿宋_GB2312" w:hAnsi="Times New Roman" w:eastAsia="仿宋_GB2312" w:cstheme="minorBidi"/>
          <w:kern w:val="2"/>
          <w:sz w:val="32"/>
          <w:szCs w:val="28"/>
          <w:lang w:val="en-US" w:eastAsia="zh-CN" w:bidi="ar-SA"/>
        </w:rPr>
      </w:pPr>
      <w:r>
        <w:rPr>
          <w:rFonts w:hint="eastAsia" w:ascii="仿宋_GB2312" w:hAnsi="Times New Roman" w:eastAsia="仿宋_GB2312" w:cstheme="minorBidi"/>
          <w:kern w:val="2"/>
          <w:sz w:val="32"/>
          <w:szCs w:val="28"/>
          <w:lang w:val="en-US" w:eastAsia="zh-CN" w:bidi="ar-SA"/>
        </w:rPr>
        <w:t>3.社会效益效果：推动低碳出行，加快城市轨道交通等大容量公共交通基础设施建设，提高公众对环保和节能的认识，促进社会的可持续发展。</w:t>
      </w:r>
    </w:p>
    <w:p w14:paraId="211A9615">
      <w:pPr>
        <w:pStyle w:val="10"/>
        <w:ind w:left="0" w:leftChars="0" w:firstLine="0" w:firstLineChars="0"/>
        <w:rPr>
          <w:rFonts w:hint="eastAsia" w:ascii="仿宋_GB2312" w:hAnsi="Times New Roman" w:eastAsia="仿宋_GB2312" w:cstheme="minorBidi"/>
          <w:kern w:val="2"/>
          <w:sz w:val="32"/>
          <w:szCs w:val="28"/>
          <w:lang w:val="en-US" w:eastAsia="zh-CN" w:bidi="ar-SA"/>
        </w:rPr>
      </w:pPr>
      <w:bookmarkStart w:id="9" w:name="_GoBack"/>
      <w:bookmarkEnd w:id="9"/>
      <w:r>
        <w:rPr>
          <w:rFonts w:hint="eastAsia" w:ascii="仿宋_GB2312" w:hAnsi="Times New Roman" w:eastAsia="仿宋_GB2312" w:cstheme="minorBidi"/>
          <w:kern w:val="2"/>
          <w:sz w:val="32"/>
          <w:szCs w:val="28"/>
          <w:lang w:val="en-US" w:eastAsia="zh-CN" w:bidi="ar-SA"/>
        </w:rPr>
        <w:t>我的创作思路（如图1-1）</w:t>
      </w:r>
    </w:p>
    <w:p w14:paraId="3694413B">
      <w:pPr>
        <w:pStyle w:val="10"/>
        <w:ind w:left="0" w:leftChars="0" w:firstLine="480" w:firstLineChars="200"/>
        <w:jc w:val="center"/>
        <w:rPr>
          <w:rFonts w:hint="eastAsia" w:ascii="Times New Roman" w:hAnsi="Times New Roman" w:eastAsia="黑体"/>
          <w:bCs/>
          <w:sz w:val="24"/>
          <w:lang w:val="zh-CN" w:eastAsia="zh-CN"/>
        </w:rPr>
      </w:pPr>
      <w:r>
        <w:rPr>
          <w:sz w:val="24"/>
        </w:rPr>
        <mc:AlternateContent>
          <mc:Choice Requires="wps">
            <w:drawing>
              <wp:anchor distT="0" distB="0" distL="114300" distR="114300" simplePos="0" relativeHeight="251659264" behindDoc="0" locked="0" layoutInCell="1" allowOverlap="1">
                <wp:simplePos x="0" y="0"/>
                <wp:positionH relativeFrom="column">
                  <wp:posOffset>494030</wp:posOffset>
                </wp:positionH>
                <wp:positionV relativeFrom="paragraph">
                  <wp:posOffset>2524125</wp:posOffset>
                </wp:positionV>
                <wp:extent cx="4102100" cy="280035"/>
                <wp:effectExtent l="0" t="0" r="0" b="12065"/>
                <wp:wrapNone/>
                <wp:docPr id="1" name="文本框 1"/>
                <wp:cNvGraphicFramePr/>
                <a:graphic xmlns:a="http://schemas.openxmlformats.org/drawingml/2006/main">
                  <a:graphicData uri="http://schemas.microsoft.com/office/word/2010/wordprocessingShape">
                    <wps:wsp>
                      <wps:cNvSpPr txBox="1"/>
                      <wps:spPr>
                        <a:xfrm>
                          <a:off x="1560830" y="9225915"/>
                          <a:ext cx="4102100" cy="2800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C65803A">
                            <w:pPr>
                              <w:jc w:val="center"/>
                              <w:rPr>
                                <w:rFonts w:hint="default" w:eastAsia="宋体"/>
                                <w:lang w:val="en-US" w:eastAsia="zh-CN"/>
                              </w:rPr>
                            </w:pPr>
                            <w:r>
                              <w:rPr>
                                <w:rFonts w:hint="eastAsia"/>
                                <w:lang w:val="en-US" w:eastAsia="zh-CN"/>
                              </w:rPr>
                              <w:t>图 1-1思路图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9pt;margin-top:198.75pt;height:22.05pt;width:323pt;z-index:251659264;mso-width-relative:page;mso-height-relative:page;" fillcolor="#FFFFFF [3201]" filled="t" stroked="f" coordsize="21600,21600" o:gfxdata="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Ft2oebW&#10;AAAACgEAAA8AAAAAAAAAAQAgAAAAIgAAAGRycy9kb3ducmV2LnhtbFBLAQIUABQAAAAIAIdO4kDE&#10;RuC1WwIAAJsEAAAOAAAAAAAAAAEAIAAAACUBAABkcnMvZTJvRG9jLnhtbFBLBQYAAAAABgAGAFkB&#10;AADyBQAAAAA=&#10;">
                <v:fill on="t" focussize="0,0"/>
                <v:stroke on="f" weight="0.5pt"/>
                <v:imagedata o:title=""/>
                <o:lock v:ext="edit" aspectratio="f"/>
                <v:textbox>
                  <w:txbxContent>
                    <w:p w14:paraId="4C65803A">
                      <w:pPr>
                        <w:jc w:val="center"/>
                        <w:rPr>
                          <w:rFonts w:hint="default" w:eastAsia="宋体"/>
                          <w:lang w:val="en-US" w:eastAsia="zh-CN"/>
                        </w:rPr>
                      </w:pPr>
                      <w:r>
                        <w:rPr>
                          <w:rFonts w:hint="eastAsia"/>
                          <w:lang w:val="en-US" w:eastAsia="zh-CN"/>
                        </w:rPr>
                        <w:t>图 1-1思路图</w:t>
                      </w:r>
                    </w:p>
                  </w:txbxContent>
                </v:textbox>
              </v:shape>
            </w:pict>
          </mc:Fallback>
        </mc:AlternateContent>
      </w:r>
      <w:r>
        <w:rPr>
          <w:rFonts w:hint="eastAsia" w:ascii="Times New Roman" w:hAnsi="Times New Roman" w:eastAsia="黑体"/>
          <w:bCs/>
          <w:sz w:val="24"/>
          <w:lang w:val="zh-CN" w:eastAsia="zh-CN"/>
        </w:rPr>
        <w:drawing>
          <wp:inline distT="0" distB="0" distL="114300" distR="114300">
            <wp:extent cx="5086985" cy="2494915"/>
            <wp:effectExtent l="0" t="0" r="5715" b="698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9"/>
                    <a:stretch>
                      <a:fillRect/>
                    </a:stretch>
                  </pic:blipFill>
                  <pic:spPr>
                    <a:xfrm>
                      <a:off x="0" y="0"/>
                      <a:ext cx="5086985" cy="2494915"/>
                    </a:xfrm>
                    <a:prstGeom prst="rect">
                      <a:avLst/>
                    </a:prstGeom>
                    <a:noFill/>
                    <a:ln>
                      <a:noFill/>
                    </a:ln>
                  </pic:spPr>
                </pic:pic>
              </a:graphicData>
            </a:graphic>
          </wp:inline>
        </w:drawing>
      </w:r>
    </w:p>
    <w:p w14:paraId="3AF1053A">
      <w:pPr>
        <w:pStyle w:val="10"/>
        <w:ind w:left="0" w:leftChars="0" w:firstLine="480" w:firstLineChars="200"/>
        <w:rPr>
          <w:rFonts w:hint="eastAsia" w:ascii="Times New Roman" w:hAnsi="Times New Roman" w:eastAsia="黑体"/>
          <w:bCs/>
          <w:sz w:val="24"/>
          <w:lang w:val="zh-CN" w:eastAsia="zh-CN"/>
        </w:rPr>
      </w:pPr>
    </w:p>
    <w:p w14:paraId="393FD175">
      <w:pPr>
        <w:pStyle w:val="10"/>
        <w:ind w:left="0" w:leftChars="0" w:firstLine="640" w:firstLineChars="200"/>
        <w:rPr>
          <w:rFonts w:hint="eastAsia" w:ascii="仿宋_GB2312" w:eastAsia="仿宋_GB2312"/>
          <w:sz w:val="32"/>
          <w:szCs w:val="28"/>
        </w:rPr>
      </w:pPr>
      <w:r>
        <w:rPr>
          <w:rFonts w:hint="eastAsia" w:ascii="仿宋_GB2312" w:hAnsi="Times New Roman" w:eastAsia="仿宋_GB2312" w:cstheme="minorBidi"/>
          <w:kern w:val="2"/>
          <w:sz w:val="32"/>
          <w:szCs w:val="28"/>
          <w:lang w:val="en-US" w:eastAsia="zh-CN" w:bidi="ar-SA"/>
        </w:rPr>
        <w:t>该发电系统由不同模块组成，能够在地铁隧道内利用不同方位的活塞风以及铁轨振动进行发电，用于监控以及照明设备，当发生火灾时，该子发电装置还能进行消防通风。</w:t>
      </w:r>
    </w:p>
    <w:p w14:paraId="04D48C49">
      <w:pPr>
        <w:pStyle w:val="10"/>
        <w:numPr>
          <w:ilvl w:val="0"/>
          <w:numId w:val="1"/>
        </w:numPr>
        <w:ind w:firstLineChars="0"/>
        <w:rPr>
          <w:rFonts w:ascii="方正黑体_GBK" w:eastAsia="方正黑体_GBK"/>
          <w:sz w:val="32"/>
          <w:szCs w:val="28"/>
        </w:rPr>
      </w:pPr>
      <w:r>
        <w:rPr>
          <w:rFonts w:hint="eastAsia" w:ascii="方正黑体_GBK" w:eastAsia="方正黑体_GBK"/>
          <w:sz w:val="32"/>
          <w:szCs w:val="28"/>
        </w:rPr>
        <w:t>设计方案</w:t>
      </w:r>
    </w:p>
    <w:p w14:paraId="114D79A4">
      <w:pPr>
        <w:pStyle w:val="10"/>
        <w:ind w:left="0" w:leftChars="0" w:firstLine="0" w:firstLineChars="0"/>
        <w:rPr>
          <w:rFonts w:hint="eastAsia" w:ascii="仿宋_GB2312" w:eastAsia="仿宋_GB2312"/>
          <w:sz w:val="32"/>
          <w:szCs w:val="28"/>
          <w:lang w:eastAsia="zh-CN"/>
        </w:rPr>
      </w:pPr>
      <w:r>
        <w:rPr>
          <w:rFonts w:hint="eastAsia" w:ascii="仿宋_GB2312" w:eastAsia="仿宋_GB2312"/>
          <w:sz w:val="32"/>
          <w:szCs w:val="28"/>
        </w:rPr>
        <w:t>本作品运用的设计方案为</w:t>
      </w:r>
      <w:r>
        <w:rPr>
          <w:rFonts w:hint="eastAsia" w:ascii="仿宋_GB2312" w:eastAsia="仿宋_GB2312"/>
          <w:sz w:val="32"/>
          <w:szCs w:val="28"/>
          <w:lang w:eastAsia="zh-CN"/>
        </w:rPr>
        <w:t>：</w:t>
      </w:r>
    </w:p>
    <w:p w14:paraId="4853F398">
      <w:pPr>
        <w:pStyle w:val="10"/>
        <w:numPr>
          <w:ilvl w:val="0"/>
          <w:numId w:val="0"/>
        </w:numPr>
        <w:ind w:firstLine="640" w:firstLineChars="200"/>
        <w:rPr>
          <w:rFonts w:hint="eastAsia" w:ascii="仿宋_GB2312" w:hAnsi="Times New Roman" w:eastAsia="仿宋_GB2312"/>
          <w:sz w:val="32"/>
          <w:szCs w:val="28"/>
          <w:lang w:val="en-US" w:eastAsia="zh-CN"/>
        </w:rPr>
      </w:pPr>
      <w:r>
        <w:rPr>
          <w:rFonts w:hint="eastAsia" w:ascii="仿宋_GB2312" w:hAnsi="Times New Roman" w:eastAsia="仿宋_GB2312"/>
          <w:sz w:val="32"/>
          <w:szCs w:val="28"/>
          <w:lang w:val="en-US" w:eastAsia="zh-CN"/>
        </w:rPr>
        <w:t>1.主发电模块：该模块在工作时气流首先会经过可变聚风罩进行整流后，推动萨伏纽斯风轮转动，风轮驱动主传动轴从而带动L型换向器(一级增速器)，进行增速和换向后驱动发电机运转，电流经过逆变控制电路流向储能电池或地铁电网用于照明或监控设备。</w:t>
      </w:r>
    </w:p>
    <w:p w14:paraId="748DEF21">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240" w:lineRule="auto"/>
        <w:ind w:firstLine="640" w:firstLineChars="200"/>
        <w:textAlignment w:val="auto"/>
        <w:rPr>
          <w:rFonts w:hint="eastAsia" w:ascii="仿宋_GB2312" w:hAnsi="Times New Roman" w:eastAsia="仿宋_GB2312" w:cstheme="minorBidi"/>
          <w:kern w:val="2"/>
          <w:sz w:val="32"/>
          <w:szCs w:val="28"/>
          <w:lang w:val="en-US" w:eastAsia="zh-CN" w:bidi="ar-SA"/>
        </w:rPr>
      </w:pPr>
      <w:r>
        <w:rPr>
          <w:rFonts w:hint="eastAsia" w:ascii="仿宋_GB2312" w:hAnsi="Times New Roman" w:eastAsia="仿宋_GB2312" w:cstheme="minorBidi"/>
          <w:kern w:val="2"/>
          <w:sz w:val="32"/>
          <w:szCs w:val="28"/>
          <w:lang w:val="en-US" w:eastAsia="zh-CN" w:bidi="ar-SA"/>
        </w:rPr>
        <w:t>2.子发电模块：该装置位于地铁隧道顶部，活塞风将推动涡轮扇叶转动，驱动主轴转动，经双向行星增速装置，进行增速，驱动发电机进行发电，当发生火灾时，逆变控制电路将会控制双向行星增速装置切换为反向等速模式，以及控制电机反转驱动扇叶进行消防排烟。</w:t>
      </w:r>
    </w:p>
    <w:p w14:paraId="648946E3">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240" w:lineRule="auto"/>
        <w:ind w:firstLine="640" w:firstLineChars="200"/>
        <w:textAlignment w:val="auto"/>
        <w:rPr>
          <w:rFonts w:hint="eastAsia" w:ascii="仿宋_GB2312" w:hAnsi="Times New Roman" w:eastAsia="仿宋_GB2312" w:cstheme="minorBidi"/>
          <w:kern w:val="2"/>
          <w:sz w:val="32"/>
          <w:szCs w:val="28"/>
          <w:lang w:val="en-US" w:eastAsia="zh-CN" w:bidi="ar-SA"/>
        </w:rPr>
      </w:pPr>
      <w:r>
        <w:rPr>
          <w:rFonts w:hint="eastAsia" w:ascii="仿宋_GB2312" w:hAnsi="Times New Roman" w:eastAsia="仿宋_GB2312" w:cstheme="minorBidi"/>
          <w:kern w:val="2"/>
          <w:sz w:val="32"/>
          <w:szCs w:val="28"/>
          <w:lang w:val="en-US" w:eastAsia="zh-CN" w:bidi="ar-SA"/>
        </w:rPr>
        <w:t>3.涡激振动发电模块：该模块位于地铁底部，当地铁在运行时，底部会产生乱流，该装置采用涡激振动原理，底部乱流会推动涡振筒发生摆动，涡振筒内装有电磁复位装置以及线圈和永磁体，线圈会随涡振筒往返摆动，永磁体固定在底座上，此时线圈便会切割磁感线进行发电。</w:t>
      </w:r>
    </w:p>
    <w:p w14:paraId="1CAEB270">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240" w:lineRule="auto"/>
        <w:ind w:firstLine="640" w:firstLineChars="200"/>
        <w:textAlignment w:val="auto"/>
        <w:rPr>
          <w:rFonts w:ascii="仿宋_GB2312" w:eastAsia="仿宋_GB2312"/>
          <w:sz w:val="32"/>
          <w:szCs w:val="28"/>
        </w:rPr>
      </w:pPr>
      <w:r>
        <w:rPr>
          <w:rFonts w:hint="eastAsia" w:ascii="仿宋_GB2312" w:hAnsi="Times New Roman" w:eastAsia="仿宋_GB2312" w:cstheme="minorBidi"/>
          <w:kern w:val="2"/>
          <w:sz w:val="32"/>
          <w:szCs w:val="28"/>
          <w:lang w:val="en-US" w:eastAsia="zh-CN" w:bidi="ar-SA"/>
        </w:rPr>
        <w:t>4.铁轨振动模块：铁轨振动模块由受压板、底座、复位弹簧、铜线圈、以及强磁组成，受压板被复位弹簧紧压在铁轨底面，当列车经过时受压板会向下运动，从而推动强磁在线圈内进行切割磁感线进行发电。</w:t>
      </w:r>
    </w:p>
    <w:p w14:paraId="41A49546">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80" w:afterAutospacing="0" w:line="18" w:lineRule="atLeast"/>
        <w:ind w:left="0" w:right="0"/>
        <w:textAlignment w:val="baseline"/>
        <w:rPr>
          <w:rFonts w:hint="eastAsia" w:ascii="仿宋_GB2312" w:hAnsi="Times New Roman" w:eastAsia="仿宋_GB2312" w:cstheme="minorBidi"/>
          <w:kern w:val="2"/>
          <w:sz w:val="32"/>
          <w:szCs w:val="28"/>
          <w:lang w:val="en-US" w:eastAsia="zh-CN" w:bidi="ar-SA"/>
        </w:rPr>
      </w:pPr>
      <w:r>
        <w:rPr>
          <w:rFonts w:hint="eastAsia" w:ascii="方正黑体_GBK" w:eastAsia="方正黑体_GBK"/>
          <w:sz w:val="32"/>
          <w:szCs w:val="28"/>
          <w:lang w:val="en-US" w:eastAsia="zh-CN"/>
        </w:rPr>
        <w:t>技术介绍</w:t>
      </w:r>
      <w:r>
        <w:br w:type="textWrapping"/>
      </w:r>
      <w:r>
        <w:rPr>
          <w:rFonts w:hint="eastAsia"/>
          <w:lang w:val="en-US" w:eastAsia="zh-CN"/>
        </w:rPr>
        <w:tab/>
      </w:r>
      <w:r>
        <w:rPr>
          <w:rFonts w:hint="eastAsia" w:ascii="仿宋_GB2312" w:hAnsi="Times New Roman" w:eastAsia="仿宋_GB2312" w:cstheme="minorBidi"/>
          <w:kern w:val="2"/>
          <w:sz w:val="32"/>
          <w:szCs w:val="28"/>
          <w:lang w:val="en-US" w:eastAsia="zh-CN" w:bidi="ar-SA"/>
        </w:rPr>
        <w:t>本作品采用</w:t>
      </w:r>
      <w:r>
        <w:rPr>
          <w:rFonts w:hint="default" w:ascii="仿宋_GB2312" w:hAnsi="Times New Roman" w:eastAsia="仿宋_GB2312" w:cstheme="minorBidi"/>
          <w:kern w:val="2"/>
          <w:sz w:val="32"/>
          <w:szCs w:val="28"/>
          <w:lang w:val="en-US" w:eastAsia="zh-CN" w:bidi="ar-SA"/>
        </w:rPr>
        <w:t>模态能量协同转换技术开发，通过以下创新模块实现城市轨道交通隧道环境的高效能源回收与智能管理：</w:t>
      </w:r>
    </w:p>
    <w:p w14:paraId="4AD0201E">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18" w:lineRule="atLeast"/>
        <w:ind w:right="0" w:firstLine="640" w:firstLineChars="200"/>
        <w:jc w:val="left"/>
        <w:textAlignment w:val="baseline"/>
        <w:rPr>
          <w:rFonts w:hint="eastAsia" w:ascii="仿宋_GB2312" w:hAnsi="Times New Roman" w:eastAsia="仿宋_GB2312" w:cstheme="minorBidi"/>
          <w:kern w:val="2"/>
          <w:sz w:val="32"/>
          <w:szCs w:val="28"/>
          <w:lang w:val="en-US" w:eastAsia="zh-CN" w:bidi="ar-SA"/>
        </w:rPr>
      </w:pPr>
      <w:r>
        <w:rPr>
          <w:rFonts w:hint="eastAsia" w:ascii="仿宋_GB2312" w:hAnsi="Times New Roman" w:eastAsia="仿宋_GB2312" w:cstheme="minorBidi"/>
          <w:kern w:val="2"/>
          <w:sz w:val="32"/>
          <w:szCs w:val="28"/>
          <w:lang w:val="en-US" w:eastAsia="zh-CN" w:bidi="ar-SA"/>
        </w:rPr>
        <w:t>1.</w:t>
      </w:r>
      <w:r>
        <w:rPr>
          <w:rFonts w:hint="default" w:ascii="仿宋_GB2312" w:hAnsi="Times New Roman" w:eastAsia="仿宋_GB2312" w:cstheme="minorBidi"/>
          <w:kern w:val="2"/>
          <w:sz w:val="32"/>
          <w:szCs w:val="28"/>
          <w:lang w:val="en-US" w:eastAsia="zh-CN" w:bidi="ar-SA"/>
        </w:rPr>
        <w:t>萨伏纽斯风轮与L型换向增速技术</w:t>
      </w:r>
      <w:r>
        <w:rPr>
          <w:rFonts w:hint="eastAsia" w:ascii="仿宋_GB2312" w:hAnsi="Times New Roman" w:eastAsia="仿宋_GB2312" w:cstheme="minorBidi"/>
          <w:kern w:val="2"/>
          <w:sz w:val="32"/>
          <w:szCs w:val="28"/>
          <w:lang w:val="en-US" w:eastAsia="zh-CN" w:bidi="ar-SA"/>
        </w:rPr>
        <w:t>：</w:t>
      </w:r>
      <w:r>
        <w:rPr>
          <w:rFonts w:hint="default" w:ascii="仿宋_GB2312" w:hAnsi="Times New Roman" w:eastAsia="仿宋_GB2312" w:cstheme="minorBidi"/>
          <w:kern w:val="2"/>
          <w:sz w:val="32"/>
          <w:szCs w:val="28"/>
          <w:lang w:val="en-US" w:eastAsia="zh-CN" w:bidi="ar-SA"/>
        </w:rPr>
        <w:t>主发电模块采用阻力型垂直轴萨伏纽斯风轮，结合蜗轮蜗杆驱动的可变聚风罩技术（倾斜15°时效率提升18.5%~35.3%），通过L型换向增速器将多向活塞风能转换为电能，解决传统风机在隧道狭长空间内的低效问题</w:t>
      </w:r>
      <w:r>
        <w:rPr>
          <w:rFonts w:hint="eastAsia" w:ascii="仿宋_GB2312" w:hAnsi="Times New Roman" w:eastAsia="仿宋_GB2312" w:cstheme="minorBidi"/>
          <w:kern w:val="2"/>
          <w:sz w:val="32"/>
          <w:szCs w:val="28"/>
          <w:lang w:val="en-US" w:eastAsia="zh-CN" w:bidi="ar-SA"/>
        </w:rPr>
        <w:t>。</w:t>
      </w:r>
    </w:p>
    <w:p w14:paraId="6172FE1B">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18" w:lineRule="atLeast"/>
        <w:ind w:left="0" w:right="0"/>
        <w:jc w:val="left"/>
        <w:textAlignment w:val="baseline"/>
        <w:rPr>
          <w:rFonts w:hint="eastAsia" w:ascii="仿宋_GB2312" w:hAnsi="Times New Roman" w:eastAsia="仿宋_GB2312" w:cstheme="minorBidi"/>
          <w:kern w:val="2"/>
          <w:sz w:val="32"/>
          <w:szCs w:val="28"/>
          <w:lang w:val="en-US" w:eastAsia="zh-CN" w:bidi="ar-SA"/>
        </w:rPr>
      </w:pPr>
      <w:r>
        <w:rPr>
          <w:rFonts w:hint="default" w:ascii="仿宋_GB2312" w:hAnsi="Times New Roman" w:eastAsia="仿宋_GB2312" w:cstheme="minorBidi"/>
          <w:kern w:val="2"/>
          <w:sz w:val="32"/>
          <w:szCs w:val="28"/>
          <w:lang w:val="en-US" w:eastAsia="zh-CN" w:bidi="ar-SA"/>
        </w:rPr>
        <w:t>​​</w:t>
      </w:r>
      <w:r>
        <w:rPr>
          <w:rFonts w:hint="eastAsia" w:ascii="仿宋_GB2312" w:hAnsi="Times New Roman" w:eastAsia="仿宋_GB2312" w:cstheme="minorBidi"/>
          <w:kern w:val="2"/>
          <w:sz w:val="32"/>
          <w:szCs w:val="28"/>
          <w:lang w:val="en-US" w:eastAsia="zh-CN" w:bidi="ar-SA"/>
        </w:rPr>
        <w:t>2.</w:t>
      </w:r>
      <w:r>
        <w:rPr>
          <w:rFonts w:hint="default" w:ascii="仿宋_GB2312" w:hAnsi="Times New Roman" w:eastAsia="仿宋_GB2312" w:cstheme="minorBidi"/>
          <w:kern w:val="2"/>
          <w:sz w:val="32"/>
          <w:szCs w:val="28"/>
          <w:lang w:val="en-US" w:eastAsia="zh-CN" w:bidi="ar-SA"/>
        </w:rPr>
        <w:t>双向行星增速与消防模式切换技术</w:t>
      </w:r>
      <w:r>
        <w:rPr>
          <w:rFonts w:hint="eastAsia" w:ascii="仿宋_GB2312" w:hAnsi="Times New Roman" w:eastAsia="仿宋_GB2312" w:cstheme="minorBidi"/>
          <w:kern w:val="2"/>
          <w:sz w:val="32"/>
          <w:szCs w:val="28"/>
          <w:lang w:val="en-US" w:eastAsia="zh-CN" w:bidi="ar-SA"/>
        </w:rPr>
        <w:t>：</w:t>
      </w:r>
      <w:r>
        <w:rPr>
          <w:rFonts w:hint="default" w:ascii="仿宋_GB2312" w:hAnsi="Times New Roman" w:eastAsia="仿宋_GB2312" w:cstheme="minorBidi"/>
          <w:kern w:val="2"/>
          <w:sz w:val="32"/>
          <w:szCs w:val="28"/>
          <w:lang w:val="en-US" w:eastAsia="zh-CN" w:bidi="ar-SA"/>
        </w:rPr>
        <w:t>子发电模块基于行星轮系动态耦合技术，通过电磁推杆控制同步器切换增速发电（行星轮输入、太阳轮输出）与消防排烟（太阳轮-内齿圈同步）模式，实现发电效率与应急功能的动态平衡。</w:t>
      </w:r>
    </w:p>
    <w:p w14:paraId="3A78DCF2">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18" w:lineRule="atLeast"/>
        <w:ind w:left="0" w:right="0"/>
        <w:jc w:val="left"/>
        <w:textAlignment w:val="baseline"/>
        <w:rPr>
          <w:rFonts w:hint="eastAsia" w:ascii="仿宋_GB2312" w:hAnsi="Times New Roman" w:eastAsia="仿宋_GB2312" w:cstheme="minorBidi"/>
          <w:kern w:val="2"/>
          <w:sz w:val="32"/>
          <w:szCs w:val="28"/>
          <w:lang w:val="en-US" w:eastAsia="zh-CN" w:bidi="ar-SA"/>
        </w:rPr>
      </w:pPr>
      <w:r>
        <w:rPr>
          <w:rFonts w:hint="default" w:ascii="仿宋_GB2312" w:hAnsi="Times New Roman" w:eastAsia="仿宋_GB2312" w:cstheme="minorBidi"/>
          <w:kern w:val="2"/>
          <w:sz w:val="32"/>
          <w:szCs w:val="28"/>
          <w:lang w:val="en-US" w:eastAsia="zh-CN" w:bidi="ar-SA"/>
        </w:rPr>
        <w:t>​​</w:t>
      </w:r>
      <w:r>
        <w:rPr>
          <w:rFonts w:hint="eastAsia" w:ascii="仿宋_GB2312" w:hAnsi="Times New Roman" w:eastAsia="仿宋_GB2312" w:cstheme="minorBidi"/>
          <w:kern w:val="2"/>
          <w:sz w:val="32"/>
          <w:szCs w:val="28"/>
          <w:lang w:val="en-US" w:eastAsia="zh-CN" w:bidi="ar-SA"/>
        </w:rPr>
        <w:t>3.</w:t>
      </w:r>
      <w:r>
        <w:rPr>
          <w:rFonts w:hint="default" w:ascii="仿宋_GB2312" w:hAnsi="Times New Roman" w:eastAsia="仿宋_GB2312" w:cstheme="minorBidi"/>
          <w:kern w:val="2"/>
          <w:sz w:val="32"/>
          <w:szCs w:val="28"/>
          <w:lang w:val="en-US" w:eastAsia="zh-CN" w:bidi="ar-SA"/>
        </w:rPr>
        <w:t>涡激振动磁电俘能技术</w:t>
      </w:r>
      <w:r>
        <w:rPr>
          <w:rFonts w:hint="eastAsia" w:ascii="仿宋_GB2312" w:hAnsi="Times New Roman" w:eastAsia="仿宋_GB2312" w:cstheme="minorBidi"/>
          <w:kern w:val="2"/>
          <w:sz w:val="32"/>
          <w:szCs w:val="28"/>
          <w:lang w:val="en-US" w:eastAsia="zh-CN" w:bidi="ar-SA"/>
        </w:rPr>
        <w:t>：</w:t>
      </w:r>
      <w:r>
        <w:rPr>
          <w:rFonts w:hint="default" w:ascii="仿宋_GB2312" w:hAnsi="Times New Roman" w:eastAsia="仿宋_GB2312" w:cstheme="minorBidi"/>
          <w:kern w:val="2"/>
          <w:sz w:val="32"/>
          <w:szCs w:val="28"/>
          <w:lang w:val="en-US" w:eastAsia="zh-CN" w:bidi="ar-SA"/>
        </w:rPr>
        <w:t>底部模块利用涡激振动-磁力复位复合原理通过永磁体与摆动线圈的磁感线切割，将列车底部乱流转化为电能，结合悬臂梁位移优化设计，提升低风速环境能量捕获率。</w:t>
      </w:r>
    </w:p>
    <w:p w14:paraId="5BC36CBB">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18" w:lineRule="atLeast"/>
        <w:ind w:left="0" w:right="0"/>
        <w:jc w:val="left"/>
        <w:textAlignment w:val="baseline"/>
        <w:rPr>
          <w:rFonts w:hint="eastAsia" w:ascii="仿宋_GB2312" w:hAnsi="Times New Roman" w:eastAsia="仿宋_GB2312" w:cstheme="minorBidi"/>
          <w:kern w:val="2"/>
          <w:sz w:val="32"/>
          <w:szCs w:val="28"/>
          <w:lang w:val="en-US" w:eastAsia="zh-CN" w:bidi="ar-SA"/>
        </w:rPr>
      </w:pPr>
      <w:r>
        <w:rPr>
          <w:rFonts w:hint="default" w:ascii="仿宋_GB2312" w:hAnsi="Times New Roman" w:eastAsia="仿宋_GB2312" w:cstheme="minorBidi"/>
          <w:kern w:val="2"/>
          <w:sz w:val="32"/>
          <w:szCs w:val="28"/>
          <w:lang w:val="en-US" w:eastAsia="zh-CN" w:bidi="ar-SA"/>
        </w:rPr>
        <w:t>​​</w:t>
      </w:r>
      <w:r>
        <w:rPr>
          <w:rFonts w:hint="eastAsia" w:ascii="仿宋_GB2312" w:hAnsi="Times New Roman" w:eastAsia="仿宋_GB2312" w:cstheme="minorBidi"/>
          <w:kern w:val="2"/>
          <w:sz w:val="32"/>
          <w:szCs w:val="28"/>
          <w:lang w:val="en-US" w:eastAsia="zh-CN" w:bidi="ar-SA"/>
        </w:rPr>
        <w:t>4.</w:t>
      </w:r>
      <w:r>
        <w:rPr>
          <w:rFonts w:hint="default" w:ascii="仿宋_GB2312" w:hAnsi="Times New Roman" w:eastAsia="仿宋_GB2312" w:cstheme="minorBidi"/>
          <w:kern w:val="2"/>
          <w:sz w:val="32"/>
          <w:szCs w:val="28"/>
          <w:lang w:val="en-US" w:eastAsia="zh-CN" w:bidi="ar-SA"/>
        </w:rPr>
        <w:t>铁轨振动电磁感应技术</w:t>
      </w:r>
      <w:r>
        <w:rPr>
          <w:rFonts w:hint="eastAsia" w:ascii="仿宋_GB2312" w:hAnsi="Times New Roman" w:eastAsia="仿宋_GB2312" w:cstheme="minorBidi"/>
          <w:kern w:val="2"/>
          <w:sz w:val="32"/>
          <w:szCs w:val="28"/>
          <w:lang w:val="en-US" w:eastAsia="zh-CN" w:bidi="ar-SA"/>
        </w:rPr>
        <w:t>：</w:t>
      </w:r>
      <w:r>
        <w:rPr>
          <w:rFonts w:hint="default" w:ascii="仿宋_GB2312" w:hAnsi="Times New Roman" w:eastAsia="仿宋_GB2312" w:cstheme="minorBidi"/>
          <w:kern w:val="2"/>
          <w:sz w:val="32"/>
          <w:szCs w:val="28"/>
          <w:lang w:val="en-US" w:eastAsia="zh-CN" w:bidi="ar-SA"/>
        </w:rPr>
        <w:t>基于动态阈值信号处理算法，实时监测轨道振动位移，通过强磁体与线圈的电磁感应实现微幅振动发电，同时集成振动数据用于列车流量分析。</w:t>
      </w:r>
    </w:p>
    <w:p w14:paraId="2B753027">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18" w:lineRule="atLeast"/>
        <w:ind w:left="0" w:right="0"/>
        <w:jc w:val="left"/>
        <w:textAlignment w:val="baseline"/>
        <w:rPr>
          <w:rFonts w:hint="eastAsia" w:ascii="仿宋_GB2312" w:hAnsi="Times New Roman" w:eastAsia="仿宋_GB2312" w:cstheme="minorBidi"/>
          <w:kern w:val="2"/>
          <w:sz w:val="32"/>
          <w:szCs w:val="28"/>
          <w:lang w:val="en-US" w:eastAsia="zh-CN" w:bidi="ar-SA"/>
        </w:rPr>
      </w:pPr>
      <w:r>
        <w:rPr>
          <w:rFonts w:hint="default" w:ascii="仿宋_GB2312" w:hAnsi="Times New Roman" w:eastAsia="仿宋_GB2312" w:cstheme="minorBidi"/>
          <w:kern w:val="2"/>
          <w:sz w:val="32"/>
          <w:szCs w:val="28"/>
          <w:lang w:val="en-US" w:eastAsia="zh-CN" w:bidi="ar-SA"/>
        </w:rPr>
        <w:t>​​</w:t>
      </w:r>
      <w:r>
        <w:rPr>
          <w:rFonts w:hint="eastAsia" w:ascii="仿宋_GB2312" w:hAnsi="Times New Roman" w:eastAsia="仿宋_GB2312" w:cstheme="minorBidi"/>
          <w:kern w:val="2"/>
          <w:sz w:val="32"/>
          <w:szCs w:val="28"/>
          <w:lang w:val="en-US" w:eastAsia="zh-CN" w:bidi="ar-SA"/>
        </w:rPr>
        <w:t>5.</w:t>
      </w:r>
      <w:r>
        <w:rPr>
          <w:rFonts w:hint="default" w:ascii="仿宋_GB2312" w:hAnsi="Times New Roman" w:eastAsia="仿宋_GB2312" w:cstheme="minorBidi"/>
          <w:kern w:val="2"/>
          <w:sz w:val="32"/>
          <w:szCs w:val="28"/>
          <w:lang w:val="en-US" w:eastAsia="zh-CN" w:bidi="ar-SA"/>
        </w:rPr>
        <w:t>智能逆变与多源协同控制技术</w:t>
      </w:r>
      <w:r>
        <w:rPr>
          <w:rFonts w:hint="eastAsia" w:ascii="仿宋_GB2312" w:hAnsi="Times New Roman" w:eastAsia="仿宋_GB2312" w:cstheme="minorBidi"/>
          <w:kern w:val="2"/>
          <w:sz w:val="32"/>
          <w:szCs w:val="28"/>
          <w:lang w:val="en-US" w:eastAsia="zh-CN" w:bidi="ar-SA"/>
        </w:rPr>
        <w:t>：</w:t>
      </w:r>
      <w:r>
        <w:rPr>
          <w:rFonts w:hint="default" w:ascii="仿宋_GB2312" w:hAnsi="Times New Roman" w:eastAsia="仿宋_GB2312" w:cstheme="minorBidi"/>
          <w:kern w:val="2"/>
          <w:sz w:val="32"/>
          <w:szCs w:val="28"/>
          <w:lang w:val="en-US" w:eastAsia="zh-CN" w:bidi="ar-SA"/>
        </w:rPr>
        <w:t>采用状态反馈重复控制算法整合四模块电能，实现整流、储能与电网并网；结合静态阈值法标准化处理风压/振动信号，构建列车流量预警系统，误差率&lt;25%。</w:t>
      </w:r>
    </w:p>
    <w:p w14:paraId="632AC1AC">
      <w:pPr>
        <w:keepNext w:val="0"/>
        <w:keepLines w:val="0"/>
        <w:widowControl/>
        <w:numPr>
          <w:numId w:val="0"/>
        </w:numPr>
        <w:suppressLineNumbers w:val="0"/>
        <w:pBdr>
          <w:top w:val="none" w:color="auto" w:sz="0" w:space="0"/>
          <w:left w:val="none" w:color="auto" w:sz="0" w:space="0"/>
          <w:bottom w:val="none" w:color="auto" w:sz="0" w:space="0"/>
          <w:right w:val="none" w:color="auto" w:sz="0" w:space="0"/>
        </w:pBdr>
        <w:spacing w:before="40" w:beforeAutospacing="0" w:after="0" w:afterAutospacing="0" w:line="18" w:lineRule="atLeast"/>
        <w:ind w:left="-320" w:leftChars="0" w:right="0" w:rightChars="0"/>
        <w:jc w:val="left"/>
        <w:textAlignment w:val="baseline"/>
        <w:rPr>
          <w:rFonts w:hint="default" w:ascii="仿宋_GB2312" w:hAnsi="Times New Roman" w:eastAsia="仿宋_GB2312" w:cstheme="minorBidi"/>
          <w:kern w:val="2"/>
          <w:sz w:val="32"/>
          <w:szCs w:val="28"/>
          <w:lang w:val="en-US" w:eastAsia="zh-CN" w:bidi="ar-SA"/>
        </w:rPr>
      </w:pPr>
      <w:r>
        <w:rPr>
          <w:rFonts w:hint="default" w:ascii="仿宋_GB2312" w:hAnsi="Times New Roman" w:eastAsia="仿宋_GB2312" w:cstheme="minorBidi"/>
          <w:kern w:val="2"/>
          <w:sz w:val="32"/>
          <w:szCs w:val="28"/>
          <w:lang w:val="en-US" w:eastAsia="zh-CN" w:bidi="ar-SA"/>
        </w:rPr>
        <w:t>​​</w:t>
      </w:r>
    </w:p>
    <w:p w14:paraId="34A7B8CE">
      <w:pPr>
        <w:keepNext w:val="0"/>
        <w:keepLines w:val="0"/>
        <w:widowControl/>
        <w:numPr>
          <w:numId w:val="0"/>
        </w:numPr>
        <w:suppressLineNumbers w:val="0"/>
        <w:pBdr>
          <w:top w:val="none" w:color="auto" w:sz="0" w:space="0"/>
          <w:left w:val="none" w:color="auto" w:sz="0" w:space="0"/>
          <w:bottom w:val="none" w:color="auto" w:sz="0" w:space="0"/>
          <w:right w:val="none" w:color="auto" w:sz="0" w:space="0"/>
        </w:pBdr>
        <w:spacing w:before="40" w:beforeAutospacing="0" w:after="0" w:afterAutospacing="0" w:line="18" w:lineRule="atLeast"/>
        <w:ind w:left="-320" w:leftChars="0" w:right="0" w:rightChars="0"/>
        <w:jc w:val="left"/>
        <w:textAlignment w:val="baseline"/>
        <w:rPr>
          <w:rFonts w:hint="eastAsia" w:ascii="仿宋_GB2312" w:hAnsi="Times New Roman" w:eastAsia="仿宋_GB2312" w:cstheme="minorBidi"/>
          <w:kern w:val="2"/>
          <w:sz w:val="32"/>
          <w:szCs w:val="28"/>
          <w:lang w:val="en-US" w:eastAsia="zh-CN" w:bidi="ar-SA"/>
        </w:rPr>
      </w:pPr>
    </w:p>
    <w:p w14:paraId="6DE2A110">
      <w:pPr>
        <w:keepNext w:val="0"/>
        <w:keepLines w:val="0"/>
        <w:widowControl/>
        <w:suppressLineNumbers w:val="0"/>
        <w:pBdr>
          <w:top w:val="none" w:color="auto" w:sz="0" w:space="0"/>
          <w:left w:val="none" w:color="auto" w:sz="0" w:space="0"/>
          <w:bottom w:val="none" w:color="auto" w:sz="0" w:space="0"/>
          <w:right w:val="none" w:color="auto" w:sz="0" w:space="0"/>
        </w:pBdr>
        <w:shd w:val="clear" w:fill="FCFCFC"/>
        <w:spacing w:before="0" w:beforeAutospacing="0" w:after="160" w:afterAutospacing="0"/>
        <w:ind w:left="0" w:right="80" w:firstLine="0"/>
        <w:jc w:val="left"/>
        <w:textAlignment w:val="baseline"/>
        <w:rPr>
          <w:rFonts w:ascii="Segoe UI" w:hAnsi="Segoe UI" w:eastAsia="Segoe UI" w:cs="Segoe UI"/>
          <w:i w:val="0"/>
          <w:iCs w:val="0"/>
          <w:caps w:val="0"/>
          <w:spacing w:val="0"/>
          <w:sz w:val="16"/>
          <w:szCs w:val="16"/>
        </w:rPr>
      </w:pPr>
    </w:p>
    <w:p w14:paraId="7AC82685">
      <w:pPr>
        <w:keepNext w:val="0"/>
        <w:keepLines w:val="0"/>
        <w:widowControl/>
        <w:numPr>
          <w:ilvl w:val="0"/>
          <w:numId w:val="2"/>
        </w:numPr>
        <w:suppressLineNumbers w:val="0"/>
        <w:spacing w:before="0" w:beforeAutospacing="1" w:after="0" w:afterAutospacing="1"/>
        <w:ind w:left="720" w:hanging="360"/>
        <w:rPr>
          <w:rFonts w:hint="eastAsia" w:ascii="仿宋_GB2312" w:hAnsi="Times New Roman" w:eastAsia="仿宋_GB2312" w:cstheme="minorBidi"/>
          <w:kern w:val="2"/>
          <w:sz w:val="32"/>
          <w:szCs w:val="28"/>
          <w:lang w:val="en-US" w:eastAsia="zh-CN" w:bidi="ar-SA"/>
        </w:rPr>
      </w:pPr>
    </w:p>
    <w:p w14:paraId="7D88FA71">
      <w:pPr>
        <w:pStyle w:val="10"/>
        <w:numPr>
          <w:ilvl w:val="0"/>
          <w:numId w:val="0"/>
        </w:numPr>
        <w:ind w:leftChars="0"/>
        <w:rPr>
          <w:rFonts w:hint="eastAsia" w:ascii="方正黑体_GBK" w:eastAsia="方正黑体_GBK"/>
          <w:sz w:val="32"/>
          <w:szCs w:val="28"/>
          <w:lang w:val="en-US" w:eastAsia="zh-CN"/>
        </w:rPr>
      </w:pPr>
    </w:p>
    <w:p w14:paraId="32355E96">
      <w:pPr>
        <w:pStyle w:val="10"/>
        <w:numPr>
          <w:ilvl w:val="0"/>
          <w:numId w:val="0"/>
        </w:numPr>
        <w:ind w:leftChars="0"/>
        <w:rPr>
          <w:rFonts w:hint="eastAsia" w:ascii="方正黑体_GBK" w:eastAsia="方正黑体_GBK"/>
          <w:sz w:val="32"/>
          <w:szCs w:val="28"/>
          <w:lang w:val="en-US" w:eastAsia="zh-CN"/>
        </w:rPr>
      </w:pPr>
    </w:p>
    <w:p w14:paraId="3E8803DF">
      <w:pPr>
        <w:pStyle w:val="10"/>
        <w:numPr>
          <w:ilvl w:val="0"/>
          <w:numId w:val="1"/>
        </w:numPr>
        <w:ind w:firstLineChars="0"/>
        <w:rPr>
          <w:rFonts w:hint="default" w:ascii="方正黑体_GBK" w:eastAsia="方正黑体_GBK"/>
          <w:sz w:val="32"/>
          <w:szCs w:val="28"/>
          <w:lang w:val="en-US" w:eastAsia="zh-CN"/>
        </w:rPr>
      </w:pPr>
      <w:r>
        <w:rPr>
          <w:rFonts w:hint="eastAsia" w:ascii="方正黑体_GBK" w:eastAsia="方正黑体_GBK"/>
          <w:sz w:val="32"/>
          <w:szCs w:val="28"/>
          <w:lang w:val="en-US" w:eastAsia="zh-CN"/>
        </w:rPr>
        <w:t>引用来源</w:t>
      </w:r>
    </w:p>
    <w:p w14:paraId="4DDBFFBA">
      <w:pPr>
        <w:pStyle w:val="10"/>
        <w:ind w:left="0" w:leftChars="0" w:firstLine="0" w:firstLineChars="0"/>
        <w:rPr>
          <w:rFonts w:hint="eastAsia" w:ascii="方正黑体_GBK" w:eastAsia="仿宋_GB2312"/>
          <w:sz w:val="32"/>
          <w:szCs w:val="28"/>
          <w:lang w:val="en-US" w:eastAsia="zh-CN"/>
        </w:rPr>
      </w:pPr>
      <w:r>
        <w:rPr>
          <w:rFonts w:hint="eastAsia" w:ascii="仿宋_GB2312" w:eastAsia="仿宋_GB2312"/>
          <w:sz w:val="32"/>
          <w:szCs w:val="28"/>
        </w:rPr>
        <w:t>本作品引用了以下内容</w:t>
      </w:r>
      <w:r>
        <w:rPr>
          <w:rFonts w:hint="eastAsia" w:ascii="仿宋_GB2312" w:eastAsia="仿宋_GB2312"/>
          <w:sz w:val="32"/>
          <w:szCs w:val="28"/>
          <w:lang w:eastAsia="zh-CN"/>
        </w:rPr>
        <w:t>：</w:t>
      </w:r>
    </w:p>
    <w:p w14:paraId="07798E73">
      <w:pPr>
        <w:pStyle w:val="10"/>
        <w:numPr>
          <w:ilvl w:val="0"/>
          <w:numId w:val="3"/>
        </w:numPr>
        <w:tabs>
          <w:tab w:val="left" w:pos="420"/>
        </w:tabs>
        <w:spacing w:line="480" w:lineRule="exact"/>
        <w:ind w:left="442" w:hanging="442" w:firstLineChars="0"/>
        <w:contextualSpacing/>
        <w:rPr>
          <w:rFonts w:ascii="Times New Roman" w:hAnsi="Times New Roman"/>
          <w:sz w:val="24"/>
        </w:rPr>
      </w:pPr>
      <w:bookmarkStart w:id="0" w:name="_Ref195645043"/>
      <w:r>
        <w:rPr>
          <w:rFonts w:hint="eastAsia" w:ascii="Times New Roman" w:hAnsi="Times New Roman"/>
          <w:sz w:val="24"/>
        </w:rPr>
        <w:t>江泽鹏,陈力航,宁盼,等.公路隧道风能利用初探[J].电代,2018,(11):27-28+34.</w:t>
      </w:r>
      <w:bookmarkEnd w:id="0"/>
    </w:p>
    <w:p w14:paraId="04A3C636">
      <w:pPr>
        <w:pStyle w:val="10"/>
        <w:numPr>
          <w:ilvl w:val="0"/>
          <w:numId w:val="3"/>
        </w:numPr>
        <w:spacing w:line="480" w:lineRule="exact"/>
        <w:ind w:left="442" w:hanging="442" w:firstLineChars="0"/>
        <w:contextualSpacing/>
        <w:rPr>
          <w:sz w:val="24"/>
        </w:rPr>
      </w:pPr>
      <w:bookmarkStart w:id="1" w:name="_Ref195878760"/>
      <w:r>
        <w:rPr>
          <w:rFonts w:ascii="宋体" w:hAnsi="宋体" w:cs="宋体"/>
          <w:sz w:val="24"/>
        </w:rPr>
        <w:t>何大伟，吴国庆，陆彬，等．垂直轴风力发电机主轴结构优化 设计[J]-机械设计与制造，</w:t>
      </w:r>
      <w:r>
        <w:rPr>
          <w:rFonts w:ascii="Times New Roman" w:hAnsi="Times New Roman"/>
          <w:sz w:val="24"/>
        </w:rPr>
        <w:t>2018(2)：199—201，205．</w:t>
      </w:r>
      <w:bookmarkEnd w:id="1"/>
    </w:p>
    <w:p w14:paraId="6FC3A959">
      <w:pPr>
        <w:pStyle w:val="10"/>
        <w:numPr>
          <w:ilvl w:val="0"/>
          <w:numId w:val="3"/>
        </w:numPr>
        <w:spacing w:line="480" w:lineRule="exact"/>
        <w:ind w:left="442" w:hanging="442" w:firstLineChars="0"/>
        <w:contextualSpacing/>
        <w:rPr>
          <w:sz w:val="24"/>
        </w:rPr>
      </w:pPr>
      <w:bookmarkStart w:id="2" w:name="_Ref195878784"/>
      <w:r>
        <w:rPr>
          <w:rFonts w:hint="eastAsia"/>
          <w:sz w:val="24"/>
        </w:rPr>
        <w:t>谭翠兰,刘振领,周利华,杨志红.基于状态反馈和重复控制的离网逆变控制研究[J].电力电子技术</w:t>
      </w:r>
      <w:r>
        <w:rPr>
          <w:rFonts w:hint="eastAsia" w:ascii="Times New Roman" w:hAnsi="Times New Roman"/>
          <w:sz w:val="24"/>
        </w:rPr>
        <w:t>,2025,59(1):82-85111</w:t>
      </w:r>
      <w:bookmarkEnd w:id="2"/>
    </w:p>
    <w:p w14:paraId="38A315D4">
      <w:pPr>
        <w:pStyle w:val="10"/>
        <w:numPr>
          <w:ilvl w:val="0"/>
          <w:numId w:val="3"/>
        </w:numPr>
        <w:spacing w:line="480" w:lineRule="exact"/>
        <w:ind w:left="442" w:hanging="442" w:firstLineChars="0"/>
        <w:contextualSpacing/>
        <w:rPr>
          <w:sz w:val="24"/>
        </w:rPr>
      </w:pPr>
      <w:bookmarkStart w:id="3" w:name="_Ref195878842"/>
      <w:r>
        <w:rPr>
          <w:rFonts w:hint="eastAsia"/>
          <w:sz w:val="24"/>
        </w:rPr>
        <w:t>宣守旺,曹从咏,周鹏.基于计算流体动力学的城市轨道交通车厢气流性能评价分析[J].城市轨道交通研究</w:t>
      </w:r>
      <w:r>
        <w:rPr>
          <w:rFonts w:hint="eastAsia" w:ascii="Times New Roman" w:hAnsi="Times New Roman"/>
          <w:sz w:val="24"/>
        </w:rPr>
        <w:t>,2018,21(3):98-101106</w:t>
      </w:r>
      <w:bookmarkEnd w:id="3"/>
    </w:p>
    <w:p w14:paraId="4C7DE36E">
      <w:pPr>
        <w:pStyle w:val="10"/>
        <w:numPr>
          <w:ilvl w:val="0"/>
          <w:numId w:val="3"/>
        </w:numPr>
        <w:spacing w:line="480" w:lineRule="exact"/>
        <w:ind w:left="442" w:hanging="442" w:firstLineChars="0"/>
        <w:contextualSpacing/>
        <w:rPr>
          <w:sz w:val="24"/>
        </w:rPr>
      </w:pPr>
      <w:bookmarkStart w:id="4" w:name="_Ref195878850"/>
      <w:r>
        <w:rPr>
          <w:rFonts w:hint="eastAsia"/>
          <w:sz w:val="24"/>
        </w:rPr>
        <w:t>郭雨. 增速斜齿轮行星传动系统动力学特性分析及优化设计[D]. 河南:郑州大学,2014.</w:t>
      </w:r>
      <w:bookmarkEnd w:id="4"/>
    </w:p>
    <w:p w14:paraId="0237A08E">
      <w:pPr>
        <w:pStyle w:val="10"/>
        <w:numPr>
          <w:ilvl w:val="0"/>
          <w:numId w:val="3"/>
        </w:numPr>
        <w:spacing w:line="480" w:lineRule="exact"/>
        <w:ind w:left="442" w:hanging="442" w:firstLineChars="0"/>
        <w:contextualSpacing/>
        <w:rPr>
          <w:sz w:val="24"/>
        </w:rPr>
      </w:pPr>
      <w:bookmarkStart w:id="5" w:name="_Ref195878859"/>
      <w:r>
        <w:rPr>
          <w:rFonts w:hint="eastAsia"/>
          <w:sz w:val="24"/>
        </w:rPr>
        <w:t>任航.基于洋流能发电的水下涡激振动能量俘获系统动力学特性研究[D].西安理工大学</w:t>
      </w:r>
      <w:r>
        <w:rPr>
          <w:rFonts w:hint="eastAsia" w:ascii="Times New Roman" w:hAnsi="Times New Roman"/>
          <w:sz w:val="24"/>
        </w:rPr>
        <w:t>,2024.DOI:10.27398/d.cnki.gxalu.2024.000951.</w:t>
      </w:r>
      <w:bookmarkEnd w:id="5"/>
    </w:p>
    <w:p w14:paraId="6D468F11">
      <w:pPr>
        <w:pStyle w:val="10"/>
        <w:numPr>
          <w:ilvl w:val="0"/>
          <w:numId w:val="3"/>
        </w:numPr>
        <w:spacing w:line="480" w:lineRule="exact"/>
        <w:ind w:left="442" w:hanging="442" w:firstLineChars="0"/>
        <w:contextualSpacing/>
        <w:rPr>
          <w:sz w:val="24"/>
        </w:rPr>
      </w:pPr>
      <w:bookmarkStart w:id="6" w:name="_Ref195878870"/>
      <w:r>
        <w:rPr>
          <w:rFonts w:hint="eastAsia"/>
          <w:sz w:val="24"/>
        </w:rPr>
        <w:t>陈海霞.基于大数据挖掘的立式击弦机磁力自复位水平测试研究[J].自动化与仪器仪表</w:t>
      </w:r>
      <w:r>
        <w:rPr>
          <w:rFonts w:hint="eastAsia" w:ascii="Times New Roman" w:hAnsi="Times New Roman"/>
          <w:sz w:val="24"/>
        </w:rPr>
        <w:t>,2023,(07):244-248+252.DOI:10.14016/j.cnki.1001-9227.2023.07.244.</w:t>
      </w:r>
      <w:bookmarkEnd w:id="6"/>
    </w:p>
    <w:p w14:paraId="0335BF9C">
      <w:pPr>
        <w:pStyle w:val="10"/>
        <w:numPr>
          <w:ilvl w:val="0"/>
          <w:numId w:val="3"/>
        </w:numPr>
        <w:spacing w:line="480" w:lineRule="exact"/>
        <w:ind w:left="442" w:hanging="442" w:firstLineChars="0"/>
        <w:contextualSpacing/>
        <w:rPr>
          <w:sz w:val="24"/>
        </w:rPr>
      </w:pPr>
      <w:bookmarkStart w:id="7" w:name="_Ref195878893"/>
      <w:r>
        <w:rPr>
          <w:rFonts w:hint="eastAsia"/>
          <w:sz w:val="24"/>
        </w:rPr>
        <w:t>孟巧荣,高立志,王勇,等.基于SolidWorks与Workbench的纤维过滤器壁厚优化设计[J].太原理工大学</w:t>
      </w:r>
      <w:bookmarkEnd w:id="7"/>
    </w:p>
    <w:p w14:paraId="6982FCF5">
      <w:pPr>
        <w:pStyle w:val="10"/>
        <w:numPr>
          <w:ilvl w:val="0"/>
          <w:numId w:val="3"/>
        </w:numPr>
        <w:spacing w:line="480" w:lineRule="exact"/>
        <w:ind w:left="442" w:hanging="442" w:firstLineChars="0"/>
        <w:contextualSpacing/>
        <w:rPr>
          <w:rFonts w:ascii="Times New Roman" w:hAnsi="Times New Roman"/>
          <w:sz w:val="24"/>
        </w:rPr>
      </w:pPr>
      <w:bookmarkStart w:id="8" w:name="_Ref195878906"/>
      <w:r>
        <w:rPr>
          <w:rFonts w:hint="eastAsia"/>
          <w:sz w:val="24"/>
        </w:rPr>
        <w:t>宋花玉.装备精度的双动态阈值评价算法及收敛性分析[J].西安工业大学学报</w:t>
      </w:r>
      <w:r>
        <w:rPr>
          <w:rFonts w:hint="eastAsia" w:ascii="Times New Roman" w:hAnsi="Times New Roman"/>
          <w:sz w:val="24"/>
        </w:rPr>
        <w:t>,2015,35(8):623-627</w:t>
      </w:r>
      <w:bookmarkEnd w:id="8"/>
    </w:p>
    <w:p w14:paraId="6265EDC7">
      <w:pPr>
        <w:pStyle w:val="10"/>
        <w:ind w:firstLine="640"/>
        <w:rPr>
          <w:rFonts w:hint="eastAsia" w:ascii="方正黑体_GBK" w:eastAsia="方正黑体_GBK"/>
          <w:sz w:val="32"/>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方正黑体_GBK">
    <w:altName w:val="微软雅黑"/>
    <w:panose1 w:val="03000509000000000000"/>
    <w:charset w:val="86"/>
    <w:family w:val="script"/>
    <w:pitch w:val="default"/>
    <w:sig w:usb0="00000000" w:usb1="00000000" w:usb2="0000000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 w:name="Symbol">
    <w:panose1 w:val="05050102010706020507"/>
    <w:charset w:val="00"/>
    <w:family w:val="auto"/>
    <w:pitch w:val="default"/>
    <w:sig w:usb0="00000000" w:usb1="00000000" w:usb2="00000000" w:usb3="00000000" w:csb0="80000000" w:csb1="00000000"/>
  </w:font>
  <w:font w:name="Segoe UI">
    <w:panose1 w:val="020B0502040204020203"/>
    <w:charset w:val="00"/>
    <w:family w:val="auto"/>
    <w:pitch w:val="default"/>
    <w:sig w:usb0="E4002EFF" w:usb1="C000E47F" w:usb2="00000009" w:usb3="00000000" w:csb0="200001FF" w:csb1="00000000"/>
  </w:font>
  <w:font w:name="Courier New">
    <w:panose1 w:val="02070309020205020404"/>
    <w:charset w:val="00"/>
    <w:family w:val="auto"/>
    <w:pitch w:val="default"/>
    <w:sig w:usb0="E0002EFF" w:usb1="C0007843" w:usb2="00000009" w:usb3="00000000" w:csb0="400001FF" w:csb1="FFFF0000"/>
  </w:font>
  <w:font w:name="Wingdings">
    <w:panose1 w:val="05000000000000000000"/>
    <w:charset w:val="00"/>
    <w:family w:val="auto"/>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78A6BD7"/>
    <w:multiLevelType w:val="multilevel"/>
    <w:tmpl w:val="378A6BD7"/>
    <w:lvl w:ilvl="0" w:tentative="0">
      <w:start w:val="1"/>
      <w:numFmt w:val="decimal"/>
      <w:lvlText w:val="[%1]"/>
      <w:lvlJc w:val="left"/>
      <w:pPr>
        <w:ind w:left="440" w:hanging="440"/>
      </w:pPr>
      <w:rPr>
        <w:rFonts w:hint="eastAsia"/>
        <w:lang w:eastAsia="zh-CN"/>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
    <w:nsid w:val="544101FA"/>
    <w:multiLevelType w:val="multilevel"/>
    <w:tmpl w:val="544101FA"/>
    <w:lvl w:ilvl="0" w:tentative="0">
      <w:start w:val="1"/>
      <w:numFmt w:val="japaneseCounting"/>
      <w:lvlText w:val="%1、"/>
      <w:lvlJc w:val="left"/>
      <w:pPr>
        <w:ind w:left="720" w:hanging="72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
    <w:nsid w:val="6270CC68"/>
    <w:multiLevelType w:val="multilevel"/>
    <w:tmpl w:val="6270CC68"/>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2IwZjUxOTNiZTM0ZDk4NmU5NTU2NzhlMzQwNzk4NjEifQ=="/>
  </w:docVars>
  <w:rsids>
    <w:rsidRoot w:val="007A2C9C"/>
    <w:rsid w:val="00006ED4"/>
    <w:rsid w:val="001444E9"/>
    <w:rsid w:val="004616D5"/>
    <w:rsid w:val="00673152"/>
    <w:rsid w:val="007A2C9C"/>
    <w:rsid w:val="00AC0BAD"/>
    <w:rsid w:val="00FB39A5"/>
    <w:rsid w:val="01CD7566"/>
    <w:rsid w:val="05D15877"/>
    <w:rsid w:val="157E0E4B"/>
    <w:rsid w:val="1E312EFF"/>
    <w:rsid w:val="26CB1A16"/>
    <w:rsid w:val="2CB27541"/>
    <w:rsid w:val="307D6687"/>
    <w:rsid w:val="316F1031"/>
    <w:rsid w:val="32621481"/>
    <w:rsid w:val="3B9734D2"/>
    <w:rsid w:val="401A339B"/>
    <w:rsid w:val="40BE0F76"/>
    <w:rsid w:val="4B5B6456"/>
    <w:rsid w:val="4C327CBE"/>
    <w:rsid w:val="517D36E3"/>
    <w:rsid w:val="5EE7567F"/>
    <w:rsid w:val="60A725D1"/>
    <w:rsid w:val="63B70D7D"/>
    <w:rsid w:val="7D1E37C3"/>
    <w:rsid w:val="7D5312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heme="minorBidi"/>
      <w:kern w:val="2"/>
      <w:sz w:val="24"/>
      <w:szCs w:val="22"/>
      <w:lang w:val="en-US" w:eastAsia="zh-CN" w:bidi="ar-SA"/>
    </w:rPr>
  </w:style>
  <w:style w:type="character" w:default="1" w:styleId="6">
    <w:name w:val="Default Paragraph Font"/>
    <w:autoRedefine/>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9"/>
    <w:unhideWhenUsed/>
    <w:qFormat/>
    <w:uiPriority w:val="99"/>
    <w:pPr>
      <w:tabs>
        <w:tab w:val="center" w:pos="4153"/>
        <w:tab w:val="right" w:pos="8306"/>
      </w:tabs>
      <w:snapToGrid w:val="0"/>
      <w:jc w:val="left"/>
    </w:pPr>
    <w:rPr>
      <w:sz w:val="18"/>
      <w:szCs w:val="18"/>
    </w:rPr>
  </w:style>
  <w:style w:type="paragraph" w:styleId="3">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semiHidden/>
    <w:unhideWhenUsed/>
    <w:uiPriority w:val="99"/>
    <w:pPr>
      <w:spacing w:before="0" w:beforeAutospacing="1" w:after="0" w:afterAutospacing="1"/>
      <w:ind w:left="0" w:right="0"/>
      <w:jc w:val="left"/>
    </w:pPr>
    <w:rPr>
      <w:kern w:val="0"/>
      <w:sz w:val="24"/>
      <w:lang w:val="en-US" w:eastAsia="zh-CN" w:bidi="ar"/>
    </w:rPr>
  </w:style>
  <w:style w:type="character" w:styleId="7">
    <w:name w:val="Strong"/>
    <w:basedOn w:val="6"/>
    <w:qFormat/>
    <w:uiPriority w:val="22"/>
    <w:rPr>
      <w:b/>
    </w:rPr>
  </w:style>
  <w:style w:type="character" w:customStyle="1" w:styleId="8">
    <w:name w:val="页眉 字符"/>
    <w:basedOn w:val="6"/>
    <w:link w:val="3"/>
    <w:qFormat/>
    <w:uiPriority w:val="99"/>
    <w:rPr>
      <w:rFonts w:ascii="Times New Roman" w:hAnsi="Times New Roman" w:eastAsia="宋体"/>
      <w:sz w:val="18"/>
      <w:szCs w:val="18"/>
    </w:rPr>
  </w:style>
  <w:style w:type="character" w:customStyle="1" w:styleId="9">
    <w:name w:val="页脚 字符"/>
    <w:basedOn w:val="6"/>
    <w:link w:val="2"/>
    <w:qFormat/>
    <w:uiPriority w:val="99"/>
    <w:rPr>
      <w:rFonts w:ascii="Times New Roman" w:hAnsi="Times New Roman" w:eastAsia="宋体"/>
      <w:sz w:val="18"/>
      <w:szCs w:val="18"/>
    </w:rPr>
  </w:style>
  <w:style w:type="paragraph" w:styleId="10">
    <w:name w:val="List Paragraph"/>
    <w:basedOn w:val="1"/>
    <w:autoRedefine/>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339</Words>
  <Characters>354</Characters>
  <Lines>2</Lines>
  <Paragraphs>1</Paragraphs>
  <TotalTime>0</TotalTime>
  <ScaleCrop>false</ScaleCrop>
  <LinksUpToDate>false</LinksUpToDate>
  <CharactersWithSpaces>354</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2023-05-29T07:49:00Z</dcterms:created>
  <dc:creator>jx-AMD</dc:creator>
  <cp:lastModifiedBy>WPS_1663462232</cp:lastModifiedBy>
  <dcterms:modified xsi:type="dcterms:W3CDTF">2025-07-03T09:37:10Z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CE1196D3BFDC4DC69E7DE67139552EDD_13</vt:lpwstr>
  </property>
  <property fmtid="{D5CDD505-2E9C-101B-9397-08002B2CF9AE}" pid="4" name="KSOTemplateDocerSaveRecord">
    <vt:lpwstr>eyJoZGlkIjoiNTAzOTQzMjQ3MWY3MDNiZmQwNmY3NTNiZWExNjczNWUiLCJ1c2VySWQiOiIxNDE2MjA5MDQ0In0=</vt:lpwstr>
  </property>
</Properties>
</file>