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E7182" w14:textId="77777777" w:rsidR="00DE1DD8" w:rsidRDefault="00000000">
      <w:pPr>
        <w:jc w:val="center"/>
        <w:rPr>
          <w:rFonts w:ascii="方正黑体_GBK" w:eastAsia="方正黑体_GBK"/>
          <w:sz w:val="56"/>
          <w:szCs w:val="52"/>
        </w:rPr>
      </w:pPr>
      <w:r>
        <w:rPr>
          <w:rFonts w:ascii="方正黑体_GBK" w:eastAsia="方正黑体_GBK" w:hint="eastAsia"/>
          <w:sz w:val="56"/>
          <w:szCs w:val="52"/>
        </w:rPr>
        <w:t>安徽省百所高校百万大学生科普</w:t>
      </w:r>
    </w:p>
    <w:p w14:paraId="24B2BF5B" w14:textId="77777777" w:rsidR="00DE1DD8" w:rsidRDefault="00000000">
      <w:pPr>
        <w:jc w:val="center"/>
        <w:rPr>
          <w:rFonts w:ascii="方正黑体_GBK" w:eastAsia="方正黑体_GBK"/>
          <w:sz w:val="56"/>
          <w:szCs w:val="52"/>
        </w:rPr>
      </w:pPr>
      <w:r>
        <w:rPr>
          <w:rFonts w:ascii="方正黑体_GBK" w:eastAsia="方正黑体_GBK" w:hint="eastAsia"/>
          <w:sz w:val="56"/>
          <w:szCs w:val="52"/>
        </w:rPr>
        <w:t>创</w:t>
      </w:r>
    </w:p>
    <w:p w14:paraId="1BDE167F" w14:textId="77777777" w:rsidR="00DE1DD8" w:rsidRDefault="00000000">
      <w:pPr>
        <w:jc w:val="center"/>
        <w:rPr>
          <w:rFonts w:ascii="方正黑体_GBK" w:eastAsia="方正黑体_GBK"/>
          <w:sz w:val="56"/>
          <w:szCs w:val="52"/>
        </w:rPr>
      </w:pPr>
      <w:r>
        <w:rPr>
          <w:rFonts w:ascii="方正黑体_GBK" w:eastAsia="方正黑体_GBK" w:hint="eastAsia"/>
          <w:sz w:val="56"/>
          <w:szCs w:val="52"/>
        </w:rPr>
        <w:t>意</w:t>
      </w:r>
    </w:p>
    <w:p w14:paraId="024B45AB" w14:textId="77777777" w:rsidR="00DE1DD8" w:rsidRDefault="00000000">
      <w:pPr>
        <w:jc w:val="center"/>
        <w:rPr>
          <w:rFonts w:ascii="方正黑体_GBK" w:eastAsia="方正黑体_GBK"/>
          <w:sz w:val="56"/>
          <w:szCs w:val="52"/>
        </w:rPr>
      </w:pPr>
      <w:r>
        <w:rPr>
          <w:rFonts w:ascii="方正黑体_GBK" w:eastAsia="方正黑体_GBK" w:hint="eastAsia"/>
          <w:sz w:val="56"/>
          <w:szCs w:val="52"/>
        </w:rPr>
        <w:t>创</w:t>
      </w:r>
    </w:p>
    <w:p w14:paraId="6EF56F01" w14:textId="77777777" w:rsidR="00DE1DD8" w:rsidRDefault="00000000">
      <w:pPr>
        <w:jc w:val="center"/>
        <w:rPr>
          <w:rFonts w:ascii="方正黑体_GBK" w:eastAsia="方正黑体_GBK"/>
          <w:sz w:val="56"/>
          <w:szCs w:val="52"/>
        </w:rPr>
      </w:pPr>
      <w:r>
        <w:rPr>
          <w:rFonts w:ascii="方正黑体_GBK" w:eastAsia="方正黑体_GBK" w:hint="eastAsia"/>
          <w:sz w:val="56"/>
          <w:szCs w:val="52"/>
        </w:rPr>
        <w:t>新</w:t>
      </w:r>
    </w:p>
    <w:p w14:paraId="154EE1FD" w14:textId="77777777" w:rsidR="00DE1DD8" w:rsidRDefault="00000000">
      <w:pPr>
        <w:jc w:val="center"/>
        <w:rPr>
          <w:rFonts w:ascii="方正黑体_GBK" w:eastAsia="方正黑体_GBK"/>
          <w:sz w:val="56"/>
          <w:szCs w:val="52"/>
        </w:rPr>
      </w:pPr>
      <w:r>
        <w:rPr>
          <w:rFonts w:ascii="方正黑体_GBK" w:eastAsia="方正黑体_GBK" w:hint="eastAsia"/>
          <w:sz w:val="56"/>
          <w:szCs w:val="52"/>
        </w:rPr>
        <w:t>大</w:t>
      </w:r>
    </w:p>
    <w:p w14:paraId="23D22A70" w14:textId="77777777" w:rsidR="00DE1DD8" w:rsidRDefault="00000000">
      <w:pPr>
        <w:jc w:val="center"/>
        <w:rPr>
          <w:rFonts w:ascii="方正黑体_GBK" w:eastAsia="方正黑体_GBK"/>
          <w:sz w:val="56"/>
          <w:szCs w:val="52"/>
        </w:rPr>
      </w:pPr>
      <w:r>
        <w:rPr>
          <w:rFonts w:ascii="方正黑体_GBK" w:eastAsia="方正黑体_GBK" w:hint="eastAsia"/>
          <w:sz w:val="56"/>
          <w:szCs w:val="52"/>
        </w:rPr>
        <w:t>赛</w:t>
      </w:r>
    </w:p>
    <w:p w14:paraId="533C7D05" w14:textId="77777777" w:rsidR="00DE1DD8" w:rsidRDefault="00000000">
      <w:pPr>
        <w:jc w:val="center"/>
        <w:rPr>
          <w:rFonts w:ascii="方正黑体_GBK" w:eastAsia="方正黑体_GBK"/>
          <w:sz w:val="56"/>
          <w:szCs w:val="52"/>
        </w:rPr>
      </w:pPr>
      <w:r>
        <w:rPr>
          <w:rFonts w:ascii="方正黑体_GBK" w:eastAsia="方正黑体_GBK" w:hint="eastAsia"/>
          <w:sz w:val="56"/>
          <w:szCs w:val="52"/>
        </w:rPr>
        <w:t>申</w:t>
      </w:r>
    </w:p>
    <w:p w14:paraId="0426397A" w14:textId="77777777" w:rsidR="00DE1DD8" w:rsidRDefault="00000000">
      <w:pPr>
        <w:jc w:val="center"/>
        <w:rPr>
          <w:rFonts w:ascii="方正黑体_GBK" w:eastAsia="方正黑体_GBK"/>
          <w:sz w:val="56"/>
          <w:szCs w:val="52"/>
        </w:rPr>
      </w:pPr>
      <w:r>
        <w:rPr>
          <w:rFonts w:ascii="方正黑体_GBK" w:eastAsia="方正黑体_GBK" w:hint="eastAsia"/>
          <w:sz w:val="56"/>
          <w:szCs w:val="52"/>
        </w:rPr>
        <w:t>报</w:t>
      </w:r>
    </w:p>
    <w:p w14:paraId="2BE692C9" w14:textId="77777777" w:rsidR="00DE1DD8" w:rsidRDefault="00000000">
      <w:pPr>
        <w:jc w:val="center"/>
        <w:rPr>
          <w:rFonts w:ascii="方正黑体_GBK" w:eastAsia="方正黑体_GBK"/>
          <w:sz w:val="56"/>
          <w:szCs w:val="52"/>
        </w:rPr>
      </w:pPr>
      <w:r>
        <w:rPr>
          <w:rFonts w:ascii="方正黑体_GBK" w:eastAsia="方正黑体_GBK" w:hint="eastAsia"/>
          <w:sz w:val="56"/>
          <w:szCs w:val="52"/>
        </w:rPr>
        <w:t>书</w:t>
      </w:r>
    </w:p>
    <w:p w14:paraId="6A955E05" w14:textId="41664DC7" w:rsidR="00DE1DD8" w:rsidRDefault="00000000">
      <w:pPr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作品名称：（</w:t>
      </w:r>
      <w:proofErr w:type="gramStart"/>
      <w:r w:rsidR="005861EE" w:rsidRPr="005861EE">
        <w:rPr>
          <w:rFonts w:ascii="方正黑体_GBK" w:eastAsia="方正黑体_GBK" w:hint="eastAsia"/>
          <w:sz w:val="32"/>
          <w:szCs w:val="28"/>
        </w:rPr>
        <w:t>龙渊恒动机一</w:t>
      </w:r>
      <w:proofErr w:type="gramEnd"/>
      <w:r w:rsidR="005861EE" w:rsidRPr="005861EE">
        <w:rPr>
          <w:rFonts w:ascii="方正黑体_GBK" w:eastAsia="方正黑体_GBK" w:hint="eastAsia"/>
          <w:sz w:val="32"/>
          <w:szCs w:val="28"/>
        </w:rPr>
        <w:t>水枢差动浑天仪</w:t>
      </w:r>
      <w:r>
        <w:rPr>
          <w:rFonts w:ascii="方正黑体_GBK" w:eastAsia="方正黑体_GBK" w:hint="eastAsia"/>
          <w:sz w:val="32"/>
          <w:szCs w:val="28"/>
        </w:rPr>
        <w:t>）</w:t>
      </w:r>
    </w:p>
    <w:p w14:paraId="3A63A6EC" w14:textId="02AFFA0C" w:rsidR="00DE1DD8" w:rsidRDefault="00000000">
      <w:pPr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参赛大分类：（</w:t>
      </w:r>
      <w:r w:rsidR="005861EE" w:rsidRPr="005861EE">
        <w:rPr>
          <w:rFonts w:ascii="方正黑体_GBK" w:eastAsia="方正黑体_GBK" w:hint="eastAsia"/>
          <w:sz w:val="32"/>
          <w:szCs w:val="28"/>
        </w:rPr>
        <w:t>科普展演</w:t>
      </w:r>
      <w:r>
        <w:rPr>
          <w:rFonts w:ascii="方正黑体_GBK" w:eastAsia="方正黑体_GBK" w:hint="eastAsia"/>
          <w:sz w:val="32"/>
          <w:szCs w:val="28"/>
        </w:rPr>
        <w:t>）</w:t>
      </w:r>
    </w:p>
    <w:p w14:paraId="52FF28F2" w14:textId="35688115" w:rsidR="00DE1DD8" w:rsidRDefault="00000000">
      <w:pPr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lastRenderedPageBreak/>
        <w:t>参赛子分类：（</w:t>
      </w:r>
      <w:r w:rsidR="005861EE" w:rsidRPr="005861EE">
        <w:rPr>
          <w:rFonts w:ascii="方正黑体_GBK" w:eastAsia="方正黑体_GBK" w:hint="eastAsia"/>
          <w:sz w:val="32"/>
          <w:szCs w:val="28"/>
        </w:rPr>
        <w:t>科普讲解</w:t>
      </w:r>
      <w:r>
        <w:rPr>
          <w:rFonts w:ascii="方正黑体_GBK" w:eastAsia="方正黑体_GBK" w:hint="eastAsia"/>
          <w:sz w:val="32"/>
          <w:szCs w:val="28"/>
        </w:rPr>
        <w:t>）</w:t>
      </w:r>
    </w:p>
    <w:p w14:paraId="5E789B45" w14:textId="77777777" w:rsidR="00DE1DD8" w:rsidRDefault="00000000">
      <w:pPr>
        <w:widowControl/>
        <w:jc w:val="left"/>
      </w:pPr>
      <w:r>
        <w:br w:type="page"/>
      </w:r>
    </w:p>
    <w:p w14:paraId="2F2CA833" w14:textId="77777777" w:rsidR="00DE1DD8" w:rsidRDefault="00000000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lastRenderedPageBreak/>
        <w:t>作品简介</w:t>
      </w:r>
    </w:p>
    <w:p w14:paraId="7CA5DF13" w14:textId="77777777" w:rsidR="005861EE" w:rsidRPr="00B77913" w:rsidRDefault="005861EE" w:rsidP="00A007F9">
      <w:pPr>
        <w:ind w:firstLine="420"/>
      </w:pPr>
      <w:r w:rsidRPr="00B77913">
        <w:rPr>
          <w:rFonts w:hint="eastAsia"/>
        </w:rPr>
        <w:t>本作品是对传统浑天仪的创新性升级设计，融合古代天文仪器智慧与现代科技。以汉代张衡浑天仪为基础，通过发条系统、差</w:t>
      </w:r>
      <w:proofErr w:type="gramStart"/>
      <w:r w:rsidRPr="00B77913">
        <w:rPr>
          <w:rFonts w:hint="eastAsia"/>
        </w:rPr>
        <w:t>速断接器</w:t>
      </w:r>
      <w:proofErr w:type="gramEnd"/>
      <w:r w:rsidRPr="00B77913">
        <w:rPr>
          <w:rFonts w:hint="eastAsia"/>
        </w:rPr>
        <w:t>、水碓动力装置等核心模块，解决传统水力驱动的动力中断、储能不足等问题。兼具天文观测数据实时传输功能，可作为家庭科技艺术摆件或公园景观夜灯，实现文化传承与实用价值的结合。</w:t>
      </w:r>
    </w:p>
    <w:p w14:paraId="44043E85" w14:textId="77777777" w:rsidR="00DE1DD8" w:rsidRPr="005861EE" w:rsidRDefault="00DE1DD8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255D334A" w14:textId="77777777" w:rsidR="00DE1DD8" w:rsidRDefault="00000000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作品代表展示图、效果图</w:t>
      </w:r>
    </w:p>
    <w:p w14:paraId="30255093" w14:textId="11190C5E" w:rsidR="00DE1DD8" w:rsidRDefault="005861EE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/>
          <w:noProof/>
          <w:sz w:val="32"/>
          <w:szCs w:val="28"/>
        </w:rPr>
        <w:drawing>
          <wp:inline distT="0" distB="0" distL="0" distR="0" wp14:anchorId="1DE0E17D" wp14:editId="788DB0AA">
            <wp:extent cx="3368233" cy="2379774"/>
            <wp:effectExtent l="0" t="0" r="3810" b="1905"/>
            <wp:docPr id="19559042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4019" cy="238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/>
          <w:noProof/>
          <w:sz w:val="32"/>
          <w:szCs w:val="28"/>
        </w:rPr>
        <w:drawing>
          <wp:inline distT="0" distB="0" distL="0" distR="0" wp14:anchorId="404EEB16" wp14:editId="3413D98C">
            <wp:extent cx="3368040" cy="2379638"/>
            <wp:effectExtent l="0" t="0" r="3810" b="1905"/>
            <wp:docPr id="48091148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923" cy="2387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/>
          <w:noProof/>
          <w:sz w:val="32"/>
          <w:szCs w:val="28"/>
        </w:rPr>
        <w:lastRenderedPageBreak/>
        <w:drawing>
          <wp:inline distT="0" distB="0" distL="0" distR="0" wp14:anchorId="478EE2B1" wp14:editId="2A9F15CB">
            <wp:extent cx="3217861" cy="2273531"/>
            <wp:effectExtent l="0" t="0" r="1905" b="0"/>
            <wp:docPr id="21127337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63" cy="22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07C3C" w14:textId="77777777" w:rsidR="00DE1DD8" w:rsidRDefault="00000000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科学原理及方法</w:t>
      </w:r>
    </w:p>
    <w:p w14:paraId="3DC063AA" w14:textId="77777777" w:rsidR="005861EE" w:rsidRPr="005861EE" w:rsidRDefault="005861EE" w:rsidP="005861EE">
      <w:pPr>
        <w:rPr>
          <w:b/>
          <w:bCs/>
        </w:rPr>
      </w:pPr>
      <w:r w:rsidRPr="005861EE">
        <w:rPr>
          <w:b/>
          <w:bCs/>
        </w:rPr>
        <w:t xml:space="preserve">1. </w:t>
      </w:r>
      <w:r w:rsidRPr="005861EE">
        <w:rPr>
          <w:b/>
          <w:bCs/>
        </w:rPr>
        <w:t>作品展示的科学原理</w:t>
      </w:r>
    </w:p>
    <w:p w14:paraId="18BC3445" w14:textId="77777777" w:rsidR="005861EE" w:rsidRPr="005861EE" w:rsidRDefault="005861EE" w:rsidP="00A007F9">
      <w:pPr>
        <w:ind w:firstLine="420"/>
      </w:pPr>
      <w:r w:rsidRPr="005861EE">
        <w:t>天体观测与数据传输原理：通过高精度传感器实时获取天体观测数据，并传输至终端设备，结合传统浑天仪的天体模拟功能，实现天文数据的数字化采集与分析。</w:t>
      </w:r>
    </w:p>
    <w:p w14:paraId="0BEDD097" w14:textId="5386E71B" w:rsidR="005861EE" w:rsidRPr="00A007F9" w:rsidRDefault="005861EE" w:rsidP="00A007F9">
      <w:pPr>
        <w:rPr>
          <w:b/>
          <w:bCs/>
        </w:rPr>
      </w:pPr>
      <w:r w:rsidRPr="00A007F9">
        <w:rPr>
          <w:b/>
          <w:bCs/>
        </w:rPr>
        <w:t>机械传动与能量转换原理：</w:t>
      </w:r>
      <w:r w:rsidRPr="005861EE">
        <w:t>发条系统通过</w:t>
      </w:r>
      <w:r w:rsidRPr="005861EE">
        <w:t xml:space="preserve"> 40:1 </w:t>
      </w:r>
      <w:r w:rsidRPr="005861EE">
        <w:t>减速齿轮传动，将势能转化为动能，精准控制浑天仪运转；</w:t>
      </w:r>
      <w:r w:rsidRPr="005861EE">
        <w:t xml:space="preserve">U </w:t>
      </w:r>
      <w:proofErr w:type="gramStart"/>
      <w:r w:rsidRPr="005861EE">
        <w:t>型槽轨设计</w:t>
      </w:r>
      <w:proofErr w:type="gramEnd"/>
      <w:r w:rsidRPr="005861EE">
        <w:t>优化动能释放过程，实现能量高效利用。</w:t>
      </w:r>
    </w:p>
    <w:p w14:paraId="3D67DC2A" w14:textId="77777777" w:rsidR="005861EE" w:rsidRPr="005861EE" w:rsidRDefault="005861EE" w:rsidP="005861EE">
      <w:r w:rsidRPr="005861EE">
        <w:t>水碓动力装置利用水流驱动水轮，通过传动轴和齿轮组将流体力学能转化为机械能，为仪器提供持续动力。</w:t>
      </w:r>
    </w:p>
    <w:p w14:paraId="547610A5" w14:textId="77777777" w:rsidR="005861EE" w:rsidRPr="005861EE" w:rsidRDefault="005861EE" w:rsidP="005861EE">
      <w:r w:rsidRPr="005861EE">
        <w:t>差速传动原理：差速器通过分配动力并允许左右驱动轮以不同转速旋转，满足浑天仪不同部件的转速需求；</w:t>
      </w:r>
      <w:proofErr w:type="gramStart"/>
      <w:r w:rsidRPr="005861EE">
        <w:t>断接器</w:t>
      </w:r>
      <w:proofErr w:type="gramEnd"/>
      <w:r w:rsidRPr="005861EE">
        <w:t>控制发条充能与放能环节，实现能量管理的动态调节。</w:t>
      </w:r>
    </w:p>
    <w:p w14:paraId="50697E87" w14:textId="77777777" w:rsidR="005861EE" w:rsidRPr="005861EE" w:rsidRDefault="005861EE" w:rsidP="005861EE">
      <w:r w:rsidRPr="00A007F9">
        <w:rPr>
          <w:b/>
          <w:bCs/>
        </w:rPr>
        <w:t>材料科学原理：</w:t>
      </w:r>
      <w:r w:rsidRPr="005861EE">
        <w:t>采用抗腐蚀金属</w:t>
      </w:r>
      <w:r w:rsidRPr="005861EE">
        <w:t xml:space="preserve"> / </w:t>
      </w:r>
      <w:r w:rsidRPr="005861EE">
        <w:t>复合材料，利用材料的耐候性和稳定性，提升仪器在不同环境中的耐久性，减少锈蚀与变形。</w:t>
      </w:r>
    </w:p>
    <w:p w14:paraId="7A27F328" w14:textId="77777777" w:rsidR="005861EE" w:rsidRPr="005861EE" w:rsidRDefault="005861EE" w:rsidP="005861EE">
      <w:pPr>
        <w:rPr>
          <w:b/>
          <w:bCs/>
        </w:rPr>
      </w:pPr>
      <w:r w:rsidRPr="005861EE">
        <w:rPr>
          <w:b/>
          <w:bCs/>
        </w:rPr>
        <w:t xml:space="preserve">2. </w:t>
      </w:r>
      <w:r w:rsidRPr="005861EE">
        <w:rPr>
          <w:b/>
          <w:bCs/>
        </w:rPr>
        <w:t>作品运用的科学方法</w:t>
      </w:r>
    </w:p>
    <w:p w14:paraId="69A837DF" w14:textId="77777777" w:rsidR="005861EE" w:rsidRPr="005861EE" w:rsidRDefault="005861EE" w:rsidP="005861EE">
      <w:r w:rsidRPr="00A007F9">
        <w:rPr>
          <w:b/>
          <w:bCs/>
        </w:rPr>
        <w:t>能量转换与储能方法：</w:t>
      </w:r>
      <w:r w:rsidRPr="005861EE">
        <w:t>通过差速储能系统将间歇性水力转化为发条的持续机械能，解决传统动力依赖问题，实现能量的储存与稳定释放。</w:t>
      </w:r>
    </w:p>
    <w:p w14:paraId="7574470A" w14:textId="77777777" w:rsidR="005861EE" w:rsidRPr="005861EE" w:rsidRDefault="005861EE" w:rsidP="005861EE">
      <w:r w:rsidRPr="00A007F9">
        <w:rPr>
          <w:b/>
          <w:bCs/>
        </w:rPr>
        <w:t>自适应控制方法：</w:t>
      </w:r>
      <w:r w:rsidRPr="005861EE">
        <w:t>利用差速器的自转与公转切换，自动补偿左右转轴转速差，实现机械系统的自适应调节，提升运转稳定性。</w:t>
      </w:r>
    </w:p>
    <w:p w14:paraId="08D65375" w14:textId="77777777" w:rsidR="005861EE" w:rsidRPr="005861EE" w:rsidRDefault="005861EE" w:rsidP="005861EE">
      <w:r w:rsidRPr="00A007F9">
        <w:rPr>
          <w:b/>
          <w:bCs/>
        </w:rPr>
        <w:t>模块化设计方法：</w:t>
      </w:r>
      <w:r w:rsidRPr="005861EE">
        <w:t>将仪器分块构建（如浑天仪模块、发条系统模块等），提高安装效率与调试便捷性，便于维护和功能拓展。</w:t>
      </w:r>
    </w:p>
    <w:p w14:paraId="214C56B2" w14:textId="77777777" w:rsidR="005861EE" w:rsidRPr="005861EE" w:rsidRDefault="005861EE" w:rsidP="005861EE">
      <w:r w:rsidRPr="005861EE">
        <w:t>可调离</w:t>
      </w:r>
      <w:proofErr w:type="gramStart"/>
      <w:r w:rsidRPr="005861EE">
        <w:t>合控制</w:t>
      </w:r>
      <w:proofErr w:type="gramEnd"/>
      <w:r w:rsidRPr="005861EE">
        <w:t>方法：通过</w:t>
      </w:r>
      <w:proofErr w:type="gramStart"/>
      <w:r w:rsidRPr="005861EE">
        <w:t>断接器实现</w:t>
      </w:r>
      <w:proofErr w:type="gramEnd"/>
      <w:r w:rsidRPr="005861EE">
        <w:t xml:space="preserve"> “</w:t>
      </w:r>
      <w:r w:rsidRPr="005861EE">
        <w:t>充能</w:t>
      </w:r>
      <w:r w:rsidRPr="005861EE">
        <w:t xml:space="preserve"> - </w:t>
      </w:r>
      <w:r w:rsidRPr="005861EE">
        <w:t>储能</w:t>
      </w:r>
      <w:r w:rsidRPr="005861EE">
        <w:t xml:space="preserve"> - </w:t>
      </w:r>
      <w:r w:rsidRPr="005861EE">
        <w:t>放能</w:t>
      </w:r>
      <w:r w:rsidRPr="005861EE">
        <w:t xml:space="preserve">” </w:t>
      </w:r>
      <w:r w:rsidRPr="005861EE">
        <w:t>模式的可控切换，优化能量使用逻辑，适应不同场景需求。</w:t>
      </w:r>
    </w:p>
    <w:p w14:paraId="08A69E12" w14:textId="77777777" w:rsidR="005861EE" w:rsidRPr="005861EE" w:rsidRDefault="005861EE" w:rsidP="005861EE">
      <w:r w:rsidRPr="00A007F9">
        <w:rPr>
          <w:b/>
          <w:bCs/>
        </w:rPr>
        <w:t>材质优化方法：</w:t>
      </w:r>
      <w:r w:rsidRPr="005861EE">
        <w:t>根据现代技术与应用场景定制抗腐蚀材料，解决传统木质</w:t>
      </w:r>
      <w:r w:rsidRPr="005861EE">
        <w:t xml:space="preserve"> / </w:t>
      </w:r>
      <w:r w:rsidRPr="005861EE">
        <w:t>青铜材质的耐久性问题，属于材料科学中的性能优化方法。</w:t>
      </w:r>
    </w:p>
    <w:p w14:paraId="7B0ABCE0" w14:textId="77777777" w:rsidR="005861EE" w:rsidRPr="005861EE" w:rsidRDefault="005861EE" w:rsidP="005861EE">
      <w:proofErr w:type="gramStart"/>
      <w:r w:rsidRPr="00A007F9">
        <w:rPr>
          <w:b/>
          <w:bCs/>
        </w:rPr>
        <w:t>光电结合</w:t>
      </w:r>
      <w:proofErr w:type="gramEnd"/>
      <w:r w:rsidRPr="00A007F9">
        <w:rPr>
          <w:b/>
          <w:bCs/>
        </w:rPr>
        <w:t>技术方法：</w:t>
      </w:r>
      <w:r w:rsidRPr="005861EE">
        <w:t>在应用场景中嵌入微型</w:t>
      </w:r>
      <w:r w:rsidRPr="005861EE">
        <w:t xml:space="preserve"> LED </w:t>
      </w:r>
      <w:r w:rsidRPr="005861EE">
        <w:t>灯，结合机械传动展示（如透明化齿轮设计），将光学原理与机械美学结合，实现科普与艺术功能。</w:t>
      </w:r>
    </w:p>
    <w:p w14:paraId="51750220" w14:textId="77777777" w:rsidR="00DE1DD8" w:rsidRPr="005861EE" w:rsidRDefault="00DE1DD8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</w:p>
    <w:p w14:paraId="713BA3F3" w14:textId="77777777" w:rsidR="00DE1DD8" w:rsidRDefault="00000000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创意说明</w:t>
      </w:r>
    </w:p>
    <w:p w14:paraId="253E00B5" w14:textId="77777777" w:rsidR="005861EE" w:rsidRPr="005861EE" w:rsidRDefault="005861EE" w:rsidP="005861EE">
      <w:r w:rsidRPr="005861EE">
        <w:lastRenderedPageBreak/>
        <w:t>我的创意来源于以下几个方面：</w:t>
      </w:r>
    </w:p>
    <w:p w14:paraId="56ADE0B7" w14:textId="77777777" w:rsidR="005861EE" w:rsidRPr="005861EE" w:rsidRDefault="005861EE" w:rsidP="005861EE">
      <w:pPr>
        <w:rPr>
          <w:b/>
          <w:bCs/>
        </w:rPr>
      </w:pPr>
      <w:r w:rsidRPr="005861EE">
        <w:rPr>
          <w:b/>
          <w:bCs/>
        </w:rPr>
        <w:t>1. </w:t>
      </w:r>
      <w:r w:rsidRPr="005861EE">
        <w:rPr>
          <w:b/>
          <w:bCs/>
        </w:rPr>
        <w:t>历史遗产的启发</w:t>
      </w:r>
    </w:p>
    <w:p w14:paraId="6792B8D3" w14:textId="77777777" w:rsidR="005861EE" w:rsidRPr="005861EE" w:rsidRDefault="005861EE" w:rsidP="005861EE">
      <w:r w:rsidRPr="005861EE">
        <w:t>从汉代张衡发明的浑天仪中汲取灵感，延续古代天体观测工具的核心原理与文化内涵，以清代康熙铜镀金浑天仪为代表案例，致敬传统天文学成就。</w:t>
      </w:r>
    </w:p>
    <w:p w14:paraId="02C96985" w14:textId="77777777" w:rsidR="005861EE" w:rsidRPr="005861EE" w:rsidRDefault="005861EE" w:rsidP="005861EE">
      <w:pPr>
        <w:rPr>
          <w:b/>
          <w:bCs/>
        </w:rPr>
      </w:pPr>
      <w:r w:rsidRPr="005861EE">
        <w:rPr>
          <w:b/>
          <w:bCs/>
        </w:rPr>
        <w:t>2. </w:t>
      </w:r>
      <w:r w:rsidRPr="005861EE">
        <w:rPr>
          <w:b/>
          <w:bCs/>
        </w:rPr>
        <w:t>解决传统技术痛点</w:t>
      </w:r>
    </w:p>
    <w:p w14:paraId="03E1D841" w14:textId="77777777" w:rsidR="005861EE" w:rsidRPr="005861EE" w:rsidRDefault="005861EE" w:rsidP="005861EE">
      <w:r w:rsidRPr="005861EE">
        <w:t>针对传统浑天仪依赖单一水力动力、无储能装置、木质</w:t>
      </w:r>
      <w:r w:rsidRPr="005861EE">
        <w:t xml:space="preserve"> / </w:t>
      </w:r>
      <w:r w:rsidRPr="005861EE">
        <w:t>青铜材质易变形锈蚀等不足，提出以现代技术升级的解决方案，提升仪器的可持续性、精度与环境适应性。</w:t>
      </w:r>
    </w:p>
    <w:p w14:paraId="0A31ED4A" w14:textId="77777777" w:rsidR="005861EE" w:rsidRPr="005861EE" w:rsidRDefault="005861EE" w:rsidP="005861EE">
      <w:pPr>
        <w:rPr>
          <w:b/>
          <w:bCs/>
        </w:rPr>
      </w:pPr>
      <w:r w:rsidRPr="005861EE">
        <w:rPr>
          <w:b/>
          <w:bCs/>
        </w:rPr>
        <w:t>3. </w:t>
      </w:r>
      <w:r w:rsidRPr="005861EE">
        <w:rPr>
          <w:b/>
          <w:bCs/>
        </w:rPr>
        <w:t>现代科技与传统工艺的融合</w:t>
      </w:r>
    </w:p>
    <w:p w14:paraId="3868F8C8" w14:textId="77777777" w:rsidR="005861EE" w:rsidRPr="005861EE" w:rsidRDefault="005861EE" w:rsidP="005861EE">
      <w:r w:rsidRPr="005861EE">
        <w:t>将高精度传感器、发条齿轮传动、差</w:t>
      </w:r>
      <w:proofErr w:type="gramStart"/>
      <w:r w:rsidRPr="005861EE">
        <w:t>速断接器</w:t>
      </w:r>
      <w:proofErr w:type="gramEnd"/>
      <w:r w:rsidRPr="005861EE">
        <w:t>、水碓动力装置等现代机械与电子技术融入传统浑天仪结构，实现</w:t>
      </w:r>
      <w:r w:rsidRPr="005861EE">
        <w:t xml:space="preserve"> “</w:t>
      </w:r>
      <w:r w:rsidRPr="005861EE">
        <w:t>古法原理</w:t>
      </w:r>
      <w:r w:rsidRPr="005861EE">
        <w:t xml:space="preserve"> + </w:t>
      </w:r>
      <w:r w:rsidRPr="005861EE">
        <w:t>现代技术</w:t>
      </w:r>
      <w:r w:rsidRPr="005861EE">
        <w:t xml:space="preserve">” </w:t>
      </w:r>
      <w:r w:rsidRPr="005861EE">
        <w:t>的跨界创新，例如通过发条系统将间歇性水力转化为持续机械能，解决动力中断问题。</w:t>
      </w:r>
    </w:p>
    <w:p w14:paraId="2E1CD120" w14:textId="77777777" w:rsidR="005861EE" w:rsidRPr="005861EE" w:rsidRDefault="005861EE" w:rsidP="005861EE">
      <w:pPr>
        <w:rPr>
          <w:b/>
          <w:bCs/>
        </w:rPr>
      </w:pPr>
      <w:r w:rsidRPr="005861EE">
        <w:rPr>
          <w:b/>
          <w:bCs/>
        </w:rPr>
        <w:t>4. </w:t>
      </w:r>
      <w:r w:rsidRPr="005861EE">
        <w:rPr>
          <w:b/>
          <w:bCs/>
        </w:rPr>
        <w:t>应用场景的拓展与功能创新</w:t>
      </w:r>
    </w:p>
    <w:p w14:paraId="228F7B9D" w14:textId="77777777" w:rsidR="005861EE" w:rsidRPr="005861EE" w:rsidRDefault="005861EE" w:rsidP="005861EE">
      <w:r w:rsidRPr="005861EE">
        <w:t>突破传统天文仪器的单一观测功能，结合现代生活需求设计多元应用场景：</w:t>
      </w:r>
    </w:p>
    <w:p w14:paraId="7585F858" w14:textId="77777777" w:rsidR="005861EE" w:rsidRPr="005861EE" w:rsidRDefault="005861EE" w:rsidP="005861EE">
      <w:r w:rsidRPr="005861EE">
        <w:rPr>
          <w:b/>
          <w:bCs/>
        </w:rPr>
        <w:t>家庭科技艺术摆件</w:t>
      </w:r>
      <w:r w:rsidRPr="005861EE">
        <w:t>：嵌入</w:t>
      </w:r>
      <w:r w:rsidRPr="005861EE">
        <w:t xml:space="preserve"> LED </w:t>
      </w:r>
      <w:r w:rsidRPr="005861EE">
        <w:t>灯模拟星体运动，融合龙元素与透明化机械传动设计，兼具文化展示与科技美学价值。</w:t>
      </w:r>
    </w:p>
    <w:p w14:paraId="2F953EA8" w14:textId="77777777" w:rsidR="005861EE" w:rsidRPr="005861EE" w:rsidRDefault="005861EE" w:rsidP="005861EE">
      <w:r w:rsidRPr="005861EE">
        <w:rPr>
          <w:b/>
          <w:bCs/>
        </w:rPr>
        <w:t>公园景观与夜灯</w:t>
      </w:r>
      <w:r w:rsidRPr="005861EE">
        <w:t>：集成照明、导航、科普互动功能（如</w:t>
      </w:r>
      <w:proofErr w:type="gramStart"/>
      <w:r w:rsidRPr="005861EE">
        <w:t>二维码科普</w:t>
      </w:r>
      <w:proofErr w:type="gramEnd"/>
      <w:r w:rsidRPr="005861EE">
        <w:t>、触摸感应声光反馈），让古代智慧以更亲民的方式融入现代公共空间。</w:t>
      </w:r>
    </w:p>
    <w:p w14:paraId="0B918216" w14:textId="77777777" w:rsidR="005861EE" w:rsidRPr="005861EE" w:rsidRDefault="005861EE" w:rsidP="005861EE">
      <w:pPr>
        <w:rPr>
          <w:b/>
          <w:bCs/>
        </w:rPr>
      </w:pPr>
      <w:r w:rsidRPr="005861EE">
        <w:rPr>
          <w:b/>
          <w:bCs/>
        </w:rPr>
        <w:t>5. </w:t>
      </w:r>
      <w:r w:rsidRPr="005861EE">
        <w:rPr>
          <w:b/>
          <w:bCs/>
        </w:rPr>
        <w:t>科普与创新的双重目标</w:t>
      </w:r>
    </w:p>
    <w:p w14:paraId="68382B4E" w14:textId="77777777" w:rsidR="005861EE" w:rsidRPr="005861EE" w:rsidRDefault="005861EE" w:rsidP="005861EE">
      <w:r w:rsidRPr="005861EE">
        <w:t>基于</w:t>
      </w:r>
      <w:r w:rsidRPr="005861EE">
        <w:t xml:space="preserve"> “</w:t>
      </w:r>
      <w:r w:rsidRPr="005861EE">
        <w:t>科普创意创新大赛</w:t>
      </w:r>
      <w:r w:rsidRPr="005861EE">
        <w:t xml:space="preserve">” </w:t>
      </w:r>
      <w:r w:rsidRPr="005861EE">
        <w:t>的定位，旨在通过技术重构与设计改良，让传统天文仪器以更易理解、更具互动性的形式传播科学知识，实现</w:t>
      </w:r>
      <w:r w:rsidRPr="005861EE">
        <w:t xml:space="preserve"> “</w:t>
      </w:r>
      <w:r w:rsidRPr="005861EE">
        <w:t>古为今用</w:t>
      </w:r>
      <w:r w:rsidRPr="005861EE">
        <w:t xml:space="preserve">” </w:t>
      </w:r>
      <w:r w:rsidRPr="005861EE">
        <w:t>的科普价值。</w:t>
      </w:r>
    </w:p>
    <w:p w14:paraId="1625B95C" w14:textId="77777777" w:rsidR="00DE1DD8" w:rsidRPr="005861EE" w:rsidRDefault="00DE1DD8">
      <w:pPr>
        <w:pStyle w:val="a7"/>
        <w:ind w:firstLine="640"/>
        <w:rPr>
          <w:rFonts w:ascii="方正黑体_GBK" w:eastAsia="方正黑体_GBK"/>
          <w:sz w:val="32"/>
          <w:szCs w:val="28"/>
        </w:rPr>
      </w:pPr>
    </w:p>
    <w:p w14:paraId="41EAB15A" w14:textId="77777777" w:rsidR="00DE1DD8" w:rsidRDefault="00000000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创作目的和方法</w:t>
      </w:r>
    </w:p>
    <w:p w14:paraId="4BEDE1C9" w14:textId="77777777" w:rsidR="005861EE" w:rsidRPr="005861EE" w:rsidRDefault="005861EE" w:rsidP="005861EE">
      <w:pPr>
        <w:ind w:firstLine="420"/>
      </w:pPr>
      <w:r w:rsidRPr="005861EE">
        <w:t>为了传承中国古代天文学智慧，以张衡浑天仪为原型进行现代化重构，延续传统天体观测工具的文化内涵与科学价值。</w:t>
      </w:r>
    </w:p>
    <w:p w14:paraId="7FFBC60A" w14:textId="77777777" w:rsidR="005861EE" w:rsidRPr="005861EE" w:rsidRDefault="005861EE" w:rsidP="005861EE">
      <w:r w:rsidRPr="005861EE">
        <w:t>为了解决传统浑天仪动力依赖单一水力、无储能装置、</w:t>
      </w:r>
      <w:proofErr w:type="gramStart"/>
      <w:r w:rsidRPr="005861EE">
        <w:t>材质易</w:t>
      </w:r>
      <w:proofErr w:type="gramEnd"/>
      <w:r w:rsidRPr="005861EE">
        <w:t>损耗等技术痛点，通过现代机械与材料技术提升仪器的可持续性、精度与环境适应性。</w:t>
      </w:r>
    </w:p>
    <w:p w14:paraId="78E96EA8" w14:textId="77777777" w:rsidR="005861EE" w:rsidRPr="005861EE" w:rsidRDefault="005861EE" w:rsidP="005861EE">
      <w:r w:rsidRPr="005861EE">
        <w:t>为了实现传统工艺与现代科技的跨界融合，将高精度传感器、发条传动、差</w:t>
      </w:r>
      <w:proofErr w:type="gramStart"/>
      <w:r w:rsidRPr="005861EE">
        <w:t>速断接器</w:t>
      </w:r>
      <w:proofErr w:type="gramEnd"/>
      <w:r w:rsidRPr="005861EE">
        <w:t>等技术融入传统结构，探索</w:t>
      </w:r>
      <w:r w:rsidRPr="005861EE">
        <w:t xml:space="preserve"> “</w:t>
      </w:r>
      <w:r w:rsidRPr="005861EE">
        <w:t>古法原理</w:t>
      </w:r>
      <w:r w:rsidRPr="005861EE">
        <w:t xml:space="preserve"> + </w:t>
      </w:r>
      <w:r w:rsidRPr="005861EE">
        <w:t>现代技术</w:t>
      </w:r>
      <w:r w:rsidRPr="005861EE">
        <w:t xml:space="preserve">” </w:t>
      </w:r>
      <w:r w:rsidRPr="005861EE">
        <w:t>的创新路径。</w:t>
      </w:r>
    </w:p>
    <w:p w14:paraId="2E471B25" w14:textId="77777777" w:rsidR="005861EE" w:rsidRPr="005861EE" w:rsidRDefault="005861EE" w:rsidP="005861EE">
      <w:r w:rsidRPr="005861EE">
        <w:t>为了拓展天文仪器的应用场景，通过模块化设计使其兼具家庭艺术摆件、公园科普景观等功能，让古代天文智慧以更贴近现代生活的方式呈现。</w:t>
      </w:r>
    </w:p>
    <w:p w14:paraId="78E91482" w14:textId="77777777" w:rsidR="005861EE" w:rsidRPr="005861EE" w:rsidRDefault="005861EE" w:rsidP="005861EE">
      <w:r w:rsidRPr="005861EE">
        <w:t>为了服务科普教育目标，通过可视化机械传动、互动声光设计与数字化数据传输，降低传统天文仪器的理解门槛，增强公众对古代科技与现代技术的认知。</w:t>
      </w:r>
    </w:p>
    <w:p w14:paraId="1CDF1BB4" w14:textId="77777777" w:rsidR="00DE1DD8" w:rsidRPr="005861EE" w:rsidRDefault="00DE1DD8" w:rsidP="005861EE"/>
    <w:p w14:paraId="5F95AF02" w14:textId="77777777" w:rsidR="00DE1DD8" w:rsidRDefault="00000000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AI参与程度说明</w:t>
      </w:r>
    </w:p>
    <w:p w14:paraId="02FDF528" w14:textId="77777777" w:rsidR="00212B3A" w:rsidRPr="00212B3A" w:rsidRDefault="00212B3A" w:rsidP="00212B3A">
      <w:pPr>
        <w:rPr>
          <w:b/>
          <w:bCs/>
        </w:rPr>
      </w:pPr>
      <w:r w:rsidRPr="00212B3A">
        <w:rPr>
          <w:b/>
          <w:bCs/>
        </w:rPr>
        <w:t xml:space="preserve">1. </w:t>
      </w:r>
      <w:r w:rsidRPr="00212B3A">
        <w:rPr>
          <w:b/>
          <w:bCs/>
        </w:rPr>
        <w:t>内容整理与优化</w:t>
      </w:r>
    </w:p>
    <w:p w14:paraId="63B2BB66" w14:textId="77777777" w:rsidR="00212B3A" w:rsidRPr="00212B3A" w:rsidRDefault="00212B3A" w:rsidP="00212B3A">
      <w:r w:rsidRPr="00212B3A">
        <w:t>信息结构化：</w:t>
      </w:r>
      <w:r w:rsidRPr="00212B3A">
        <w:t>AI</w:t>
      </w:r>
      <w:r w:rsidRPr="00212B3A">
        <w:t>可能协助将团队提供的零散内容（如历史背景、技术模块描述等）整合为逻辑清晰的目录框架（如</w:t>
      </w:r>
      <w:r w:rsidRPr="00212B3A">
        <w:t>“</w:t>
      </w:r>
      <w:r w:rsidRPr="00212B3A">
        <w:t>历史与不足</w:t>
      </w:r>
      <w:r w:rsidRPr="00212B3A">
        <w:t>”“</w:t>
      </w:r>
      <w:r w:rsidRPr="00212B3A">
        <w:t>核心技术</w:t>
      </w:r>
      <w:r w:rsidRPr="00212B3A">
        <w:t>”“</w:t>
      </w:r>
      <w:r w:rsidRPr="00212B3A">
        <w:t>应用场景</w:t>
      </w:r>
      <w:r w:rsidRPr="00212B3A">
        <w:t>”</w:t>
      </w:r>
      <w:r w:rsidRPr="00212B3A">
        <w:t>等板块）。</w:t>
      </w:r>
    </w:p>
    <w:p w14:paraId="5ACC16EA" w14:textId="77777777" w:rsidR="00212B3A" w:rsidRPr="00212B3A" w:rsidRDefault="00212B3A" w:rsidP="00212B3A">
      <w:r w:rsidRPr="00212B3A">
        <w:t>语言润色：部分技术性描述（</w:t>
      </w:r>
      <w:proofErr w:type="gramStart"/>
      <w:r w:rsidRPr="00212B3A">
        <w:t>如差速断接</w:t>
      </w:r>
      <w:proofErr w:type="gramEnd"/>
      <w:r w:rsidRPr="00212B3A">
        <w:t>器模块、发条系统的工作原理）可能经过</w:t>
      </w:r>
      <w:r w:rsidRPr="00212B3A">
        <w:t>AI</w:t>
      </w:r>
      <w:r w:rsidRPr="00212B3A">
        <w:t>简化或调整，使其更符合科普语言的通俗性要求，但核心内容仍基于团队</w:t>
      </w:r>
      <w:r w:rsidRPr="00212B3A">
        <w:lastRenderedPageBreak/>
        <w:t>的专业输入。</w:t>
      </w:r>
    </w:p>
    <w:p w14:paraId="6297FE33" w14:textId="77777777" w:rsidR="00212B3A" w:rsidRPr="00212B3A" w:rsidRDefault="00212B3A" w:rsidP="00212B3A">
      <w:pPr>
        <w:rPr>
          <w:b/>
          <w:bCs/>
        </w:rPr>
      </w:pPr>
      <w:r w:rsidRPr="00212B3A">
        <w:rPr>
          <w:b/>
          <w:bCs/>
        </w:rPr>
        <w:t xml:space="preserve">2. </w:t>
      </w:r>
      <w:r w:rsidRPr="00212B3A">
        <w:rPr>
          <w:b/>
          <w:bCs/>
        </w:rPr>
        <w:t>视觉与排版建议</w:t>
      </w:r>
    </w:p>
    <w:p w14:paraId="7BFFD9A5" w14:textId="77777777" w:rsidR="00212B3A" w:rsidRPr="00212B3A" w:rsidRDefault="00212B3A" w:rsidP="00212B3A">
      <w:r w:rsidRPr="00212B3A">
        <w:t>设计辅助：</w:t>
      </w:r>
      <w:r w:rsidRPr="00212B3A">
        <w:t>PPT</w:t>
      </w:r>
      <w:r w:rsidRPr="00212B3A">
        <w:t>的模块化布局（</w:t>
      </w:r>
      <w:proofErr w:type="gramStart"/>
      <w:r w:rsidRPr="00212B3A">
        <w:t>如分页</w:t>
      </w:r>
      <w:proofErr w:type="gramEnd"/>
      <w:r w:rsidRPr="00212B3A">
        <w:t>标题、图文搭配）可能参考了</w:t>
      </w:r>
      <w:r w:rsidRPr="00212B3A">
        <w:t>AI</w:t>
      </w:r>
      <w:r w:rsidRPr="00212B3A">
        <w:t>对演示文稿通用规范的推荐，但具体设计风格（如龙元素融入、透明化机械设计）由团队自主完成。</w:t>
      </w:r>
    </w:p>
    <w:p w14:paraId="214D7718" w14:textId="77777777" w:rsidR="00212B3A" w:rsidRPr="00212B3A" w:rsidRDefault="00212B3A" w:rsidP="00212B3A">
      <w:pPr>
        <w:rPr>
          <w:b/>
          <w:bCs/>
        </w:rPr>
      </w:pPr>
      <w:r w:rsidRPr="00212B3A">
        <w:rPr>
          <w:rFonts w:hint="eastAsia"/>
          <w:b/>
          <w:bCs/>
        </w:rPr>
        <w:t>3</w:t>
      </w:r>
      <w:r w:rsidRPr="00212B3A">
        <w:rPr>
          <w:b/>
          <w:bCs/>
        </w:rPr>
        <w:t xml:space="preserve">. </w:t>
      </w:r>
      <w:r w:rsidRPr="00212B3A">
        <w:rPr>
          <w:b/>
          <w:bCs/>
        </w:rPr>
        <w:t>非</w:t>
      </w:r>
      <w:r w:rsidRPr="00212B3A">
        <w:rPr>
          <w:b/>
          <w:bCs/>
        </w:rPr>
        <w:t>AI</w:t>
      </w:r>
      <w:r w:rsidRPr="00212B3A">
        <w:rPr>
          <w:b/>
          <w:bCs/>
        </w:rPr>
        <w:t>主导部分</w:t>
      </w:r>
    </w:p>
    <w:p w14:paraId="33DE99C7" w14:textId="77777777" w:rsidR="00212B3A" w:rsidRPr="00212B3A" w:rsidRDefault="00212B3A" w:rsidP="00212B3A">
      <w:r w:rsidRPr="00212B3A">
        <w:t>核心技术内容：所有技术解析（如</w:t>
      </w:r>
      <w:r w:rsidRPr="00212B3A">
        <w:t>40:1</w:t>
      </w:r>
      <w:r w:rsidRPr="00212B3A">
        <w:t>减速齿轮、差速器功能）均来自团队成员的专业知识，</w:t>
      </w:r>
      <w:r w:rsidRPr="00212B3A">
        <w:t>AI</w:t>
      </w:r>
      <w:r w:rsidRPr="00212B3A">
        <w:t>未参与技术原理的生成。</w:t>
      </w:r>
    </w:p>
    <w:p w14:paraId="7DBE3AC2" w14:textId="77777777" w:rsidR="00212B3A" w:rsidRPr="00212B3A" w:rsidRDefault="00212B3A" w:rsidP="00212B3A">
      <w:r w:rsidRPr="00212B3A">
        <w:t>历史与文化关联：汉代张衡浑天仪的历史背景、清代康熙浑天仪的引用等文化内容由团队独立整理，</w:t>
      </w:r>
      <w:r w:rsidRPr="00212B3A">
        <w:t>AI</w:t>
      </w:r>
      <w:r w:rsidRPr="00212B3A">
        <w:t>仅可能协助语言流畅性。</w:t>
      </w:r>
    </w:p>
    <w:p w14:paraId="2B48A1F0" w14:textId="77777777" w:rsidR="00212B3A" w:rsidRPr="00212B3A" w:rsidRDefault="00212B3A" w:rsidP="00212B3A">
      <w:pPr>
        <w:rPr>
          <w:b/>
          <w:bCs/>
        </w:rPr>
      </w:pPr>
      <w:r w:rsidRPr="00212B3A">
        <w:rPr>
          <w:b/>
          <w:bCs/>
        </w:rPr>
        <w:t>总结</w:t>
      </w:r>
    </w:p>
    <w:p w14:paraId="1C794FE7" w14:textId="77777777" w:rsidR="00212B3A" w:rsidRPr="00212B3A" w:rsidRDefault="00212B3A" w:rsidP="00212B3A">
      <w:r w:rsidRPr="00212B3A">
        <w:t>AI</w:t>
      </w:r>
      <w:r w:rsidRPr="00212B3A">
        <w:t>的参与程度约为</w:t>
      </w:r>
      <w:r w:rsidRPr="00212B3A">
        <w:rPr>
          <w:rFonts w:hint="eastAsia"/>
        </w:rPr>
        <w:t>5</w:t>
      </w:r>
      <w:r w:rsidRPr="00212B3A">
        <w:t>%-</w:t>
      </w:r>
      <w:r w:rsidRPr="00212B3A">
        <w:rPr>
          <w:rFonts w:hint="eastAsia"/>
        </w:rPr>
        <w:t>1</w:t>
      </w:r>
      <w:r w:rsidRPr="00212B3A">
        <w:t>0%</w:t>
      </w:r>
      <w:r w:rsidRPr="00212B3A">
        <w:t>，主要集中在语言优化、结构梳理和基础设计建议层面，而核心内容（技术方案、文化创意、历史考据）及最终决策均由团队（包括演讲人张亮及指导老师）主导完成。</w:t>
      </w:r>
      <w:r w:rsidRPr="00212B3A">
        <w:t>PPT</w:t>
      </w:r>
      <w:r w:rsidRPr="00212B3A">
        <w:t>的整体创意和专业性仍体现团队的人工智慧。</w:t>
      </w:r>
    </w:p>
    <w:p w14:paraId="7419FABC" w14:textId="77777777" w:rsidR="00DE1DD8" w:rsidRPr="00212B3A" w:rsidRDefault="00DE1DD8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sectPr w:rsidR="00DE1DD8" w:rsidRPr="00212B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E7A6A" w14:textId="77777777" w:rsidR="00692E92" w:rsidRDefault="00692E92" w:rsidP="005861EE">
      <w:r>
        <w:separator/>
      </w:r>
    </w:p>
  </w:endnote>
  <w:endnote w:type="continuationSeparator" w:id="0">
    <w:p w14:paraId="0F0D6238" w14:textId="77777777" w:rsidR="00692E92" w:rsidRDefault="00692E92" w:rsidP="0058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72EFF" w14:textId="77777777" w:rsidR="00692E92" w:rsidRDefault="00692E92" w:rsidP="005861EE">
      <w:r>
        <w:separator/>
      </w:r>
    </w:p>
  </w:footnote>
  <w:footnote w:type="continuationSeparator" w:id="0">
    <w:p w14:paraId="51146B7E" w14:textId="77777777" w:rsidR="00692E92" w:rsidRDefault="00692E92" w:rsidP="00586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84A34"/>
    <w:multiLevelType w:val="multilevel"/>
    <w:tmpl w:val="F0EC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82A60"/>
    <w:multiLevelType w:val="multilevel"/>
    <w:tmpl w:val="BF18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A62FF5"/>
    <w:multiLevelType w:val="multilevel"/>
    <w:tmpl w:val="0C52E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F43AE7"/>
    <w:multiLevelType w:val="multilevel"/>
    <w:tmpl w:val="F418C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F5B33"/>
    <w:multiLevelType w:val="multilevel"/>
    <w:tmpl w:val="1F0E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443F99"/>
    <w:multiLevelType w:val="multilevel"/>
    <w:tmpl w:val="1F1A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0504E4"/>
    <w:multiLevelType w:val="multilevel"/>
    <w:tmpl w:val="8788F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4101FA"/>
    <w:multiLevelType w:val="multilevel"/>
    <w:tmpl w:val="544101F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59D2C8B"/>
    <w:multiLevelType w:val="multilevel"/>
    <w:tmpl w:val="26F4A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9163928">
    <w:abstractNumId w:val="7"/>
  </w:num>
  <w:num w:numId="2" w16cid:durableId="913667948">
    <w:abstractNumId w:val="0"/>
  </w:num>
  <w:num w:numId="3" w16cid:durableId="507522117">
    <w:abstractNumId w:val="5"/>
  </w:num>
  <w:num w:numId="4" w16cid:durableId="826022036">
    <w:abstractNumId w:val="4"/>
  </w:num>
  <w:num w:numId="5" w16cid:durableId="1348408379">
    <w:abstractNumId w:val="3"/>
  </w:num>
  <w:num w:numId="6" w16cid:durableId="577597714">
    <w:abstractNumId w:val="8"/>
  </w:num>
  <w:num w:numId="7" w16cid:durableId="1444956606">
    <w:abstractNumId w:val="1"/>
  </w:num>
  <w:num w:numId="8" w16cid:durableId="2130588771">
    <w:abstractNumId w:val="6"/>
  </w:num>
  <w:num w:numId="9" w16cid:durableId="1327173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1B4539"/>
    <w:rsid w:val="00212B3A"/>
    <w:rsid w:val="00247AF1"/>
    <w:rsid w:val="00260310"/>
    <w:rsid w:val="002918B9"/>
    <w:rsid w:val="00292C21"/>
    <w:rsid w:val="003F7A0F"/>
    <w:rsid w:val="00435313"/>
    <w:rsid w:val="004616D5"/>
    <w:rsid w:val="00472E9E"/>
    <w:rsid w:val="005773E1"/>
    <w:rsid w:val="005861EE"/>
    <w:rsid w:val="00673152"/>
    <w:rsid w:val="00692E92"/>
    <w:rsid w:val="006D374A"/>
    <w:rsid w:val="007A2C9C"/>
    <w:rsid w:val="0095419F"/>
    <w:rsid w:val="009E3E4A"/>
    <w:rsid w:val="00A007F9"/>
    <w:rsid w:val="00AC0BAD"/>
    <w:rsid w:val="00BF7243"/>
    <w:rsid w:val="00C40A36"/>
    <w:rsid w:val="00CD5E4A"/>
    <w:rsid w:val="00DE1DD8"/>
    <w:rsid w:val="00E77D60"/>
    <w:rsid w:val="00F2078C"/>
    <w:rsid w:val="00F41C73"/>
    <w:rsid w:val="00F706FC"/>
    <w:rsid w:val="00FB39A5"/>
    <w:rsid w:val="037144F7"/>
    <w:rsid w:val="104C7FBC"/>
    <w:rsid w:val="3F6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2CE0AB"/>
  <w15:docId w15:val="{2DAAD2DD-6696-4345-85CC-765B4727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/>
      <w:kern w:val="2"/>
      <w:sz w:val="24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861E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861E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1E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5861EE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5861EE"/>
    <w:rPr>
      <w:rFonts w:ascii="Times New Roman" w:eastAsia="宋体" w:hAnsi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861EE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1181</Words>
  <Characters>1194</Characters>
  <Application>Microsoft Office Word</Application>
  <DocSecurity>0</DocSecurity>
  <Lines>59</Lines>
  <Paragraphs>64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jx-AMD</dc:creator>
  <cp:lastModifiedBy>ao T</cp:lastModifiedBy>
  <cp:revision>13</cp:revision>
  <dcterms:created xsi:type="dcterms:W3CDTF">2023-05-29T07:49:00Z</dcterms:created>
  <dcterms:modified xsi:type="dcterms:W3CDTF">2025-06-23T15:17:00Z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B9C393AC19EA4CCE84CE5BFD6EEDB879_12</vt:lpwstr>
  </property>
  <property fmtid="{D5CDD505-2E9C-101B-9397-08002B2CF9AE}" pid="4" name="KSOTemplateDocerSaveRecord">
    <vt:lpwstr>eyJoZGlkIjoiM2IwZjUxOTNiZTM0ZDk4NmU5NTU2NzhlMzQwNzk4NjEiLCJ1c2VySWQiOiIxMTQ3MTA4OTQyIn0=</vt:lpwstr>
  </property>
</Properties>
</file>